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SimSun"/>
          <w:b/>
          <w:bCs/>
          <w:kern w:val="0"/>
          <w:sz w:val="24"/>
          <w:szCs w:val="24"/>
          <w:lang w:val="en-US" w:eastAsia="zh-CN"/>
        </w:rPr>
      </w:pPr>
      <w:r>
        <w:rPr>
          <w:rFonts w:hint="default" w:ascii="Arial" w:hAnsi="Arial" w:eastAsia="SimSun"/>
          <w:b/>
          <w:bCs/>
          <w:kern w:val="0"/>
          <w:sz w:val="24"/>
          <w:szCs w:val="24"/>
          <w:lang w:val="en-US" w:eastAsia="zh-CN"/>
        </w:rPr>
        <w:t>МИНИСТЕРСТВО ФИНАНСОВ РОССИЙСКОЙ ФЕДЕРАЦИИ</w:t>
      </w:r>
    </w:p>
    <w:p>
      <w:pPr>
        <w:jc w:val="center"/>
        <w:rPr>
          <w:rFonts w:hint="default" w:ascii="Arial" w:hAnsi="Arial" w:eastAsia="SimSun"/>
          <w:b/>
          <w:bCs/>
          <w:kern w:val="0"/>
          <w:sz w:val="24"/>
          <w:szCs w:val="24"/>
          <w:lang w:val="en-US" w:eastAsia="zh-CN"/>
        </w:rPr>
      </w:pPr>
    </w:p>
    <w:p>
      <w:pPr>
        <w:jc w:val="center"/>
        <w:rPr>
          <w:rFonts w:hint="default" w:ascii="Arial" w:hAnsi="Arial" w:eastAsia="SimSun"/>
          <w:b/>
          <w:bCs/>
          <w:kern w:val="0"/>
          <w:sz w:val="24"/>
          <w:szCs w:val="24"/>
          <w:lang w:val="en-US" w:eastAsia="zh-CN"/>
        </w:rPr>
      </w:pPr>
      <w:r>
        <w:rPr>
          <w:rFonts w:hint="default" w:ascii="Arial" w:hAnsi="Arial" w:eastAsia="SimSun"/>
          <w:b/>
          <w:bCs/>
          <w:kern w:val="0"/>
          <w:sz w:val="24"/>
          <w:szCs w:val="24"/>
          <w:lang w:val="en-US" w:eastAsia="zh-CN"/>
        </w:rPr>
        <w:t>ПИСЬМО</w:t>
      </w:r>
    </w:p>
    <w:p>
      <w:pPr>
        <w:jc w:val="center"/>
        <w:rPr>
          <w:rFonts w:hint="default" w:ascii="Arial" w:hAnsi="Arial" w:eastAsia="SimSun"/>
          <w:b/>
          <w:bCs/>
          <w:kern w:val="0"/>
          <w:sz w:val="24"/>
          <w:szCs w:val="24"/>
          <w:lang w:val="en-US" w:eastAsia="zh-CN"/>
        </w:rPr>
      </w:pPr>
      <w:r>
        <w:rPr>
          <w:rFonts w:hint="default" w:ascii="Arial" w:hAnsi="Arial" w:eastAsia="SimSun"/>
          <w:b/>
          <w:bCs/>
          <w:kern w:val="0"/>
          <w:sz w:val="24"/>
          <w:szCs w:val="24"/>
          <w:lang w:val="en-US" w:eastAsia="zh-CN"/>
        </w:rPr>
        <w:t>от 3 ноября 2022 г. N 02-09-08/107388</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рассмотрев письмо от 03.10.2022 по вопросу согласования структурным подразделением администрации города (далее - администрация), на которое возложены полномочии по осуществлению внутреннего муниципального финансового контроля, правового акта, устанавливающего положение о закупке хозяйственного общества, 100 процентов акций (доли в уставном капитале) которого находятся в собственности муниципального образования, сообщает.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Согласно абзац</w:t>
      </w:r>
      <w:bookmarkStart w:id="0" w:name="_GoBack"/>
      <w:bookmarkEnd w:id="0"/>
      <w:r>
        <w:rPr>
          <w:rFonts w:hint="default" w:ascii="Times New Roman" w:hAnsi="Times New Roman" w:eastAsia="SimSun" w:cs="Times New Roman"/>
          <w:b w:val="0"/>
          <w:bCs w:val="0"/>
          <w:kern w:val="0"/>
          <w:sz w:val="24"/>
          <w:szCs w:val="24"/>
          <w:lang w:val="en-US" w:eastAsia="zh-CN"/>
        </w:rPr>
        <w:t xml:space="preserve">у первому пункта 11.8 Регламента Министерства финансов Российской Федерации, утвержденного приказом Министерств финансов Российской Федерации от 14.09.2018 N 194н, Министерством финансов Российской Федерации не осуществляется разъяснение законодательства Российской Федерации, практики его применения, практики применения приказов Минфина России, а также толкование норм, терминов и понятий по обращениям,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Позиция аналогичного характера имеется в части отсутствия у Министерства финансов Российской Федерации полномочий по разъяснению иных нормативных правовых актов в установленной сфере.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Вместе с тем по существу вопроса, изложенного в рассматриваемом письме, полагаем необходимым выразить следующее мнение.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Полномочия органов внутреннего государственного (муниципального) финансового контроля (далее - органы контроля) по осуществлению внутреннего государственного (муниципального) финансового контроля установлены положениями статьи 269.2 Бюджетного кодекса Российской Федерации (далее - БК РФ).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В соответствии с пунктом 3 статьи 269.2 БК РФ органы контроля при осуществлении полномочий по внутреннему государственному (муниципальному) финансовому контролю должны руководствоваться единой системой федеральных стандартов внутреннего государственного (муниципального) финансового контроля, утвержденных нормативными правовыми актами Правительства Российской Федерации.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Перечень объектов контроля установлен пунктом 1 статьи 266.1 БК РФ, к которым в том числе относятся хозяйственные товарищества и общества с участием публично-правовых образований в их уставных (складочных) капиталах (далее - хозяйственные общества).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При этом в случаях, установленных Федеральным законом от 18.07.2011 N 223-ФЗ "О закупках товаров, работ, услуг отдельными видами юридических лиц" (далее - Закон N 223-ФЗ), закупочная деятельность хозяйственных обществ регулируется положениями указанного Федерального закона.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Согласно части 1 статьи 2 Закона N 223-ФЗ при закупке товаров, работ, услуг заказчики руководствуются Конституцией Российской Федерации, Гражданским кодексом Российской Федерации, Законом N 223-ФЗ,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указанной статьи правовыми актами, регламентирующими правила закупки (далее - положение о закупке).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Одновременно считаем необходимым отметить, что в соответствии с положениями пункта 3 статьи 265 БК РФ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При этом основы организации местного самоуправления в Российской Федерации регулируются Федеральным законом от 06.10.2003 N 131-ФЗ "Об общих принципах организации местного самоуправления в Российской Федерации" (далее - Закон N 131-ФЗ).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Согласно положениям статьи 43 Закона N 131-ФЗ структуру муниципальных правовых актов могут также составлять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Исходя из общей практики в рамках указанных муниципальных правовых актов в пределах установленных законодательством Российской Федерации полномочий могут быть предусмотрены порядки (регламенты), регулирующие взаимодействие органов местного самоуправления и организаций, а также внутреннюю организацию работы органов местного самоуправления, в том числе определяющие процедуры организации согласования органами местного самоуправления принимаемых правовых актов. </w:t>
      </w:r>
    </w:p>
    <w:p>
      <w:pPr>
        <w:ind w:left="-800" w:leftChars="-400" w:firstLine="799" w:firstLineChars="333"/>
        <w:jc w:val="both"/>
        <w:rPr>
          <w:rFonts w:hint="default" w:ascii="Times New Roman" w:hAnsi="Times New Roman" w:eastAsia="SimSun" w:cs="Times New Roman"/>
          <w:b w:val="0"/>
          <w:bCs w:val="0"/>
          <w:kern w:val="0"/>
          <w:sz w:val="24"/>
          <w:szCs w:val="24"/>
          <w:lang w:val="en-US" w:eastAsia="zh-CN"/>
        </w:rPr>
      </w:pPr>
      <w:r>
        <w:rPr>
          <w:rFonts w:hint="default" w:ascii="Times New Roman" w:hAnsi="Times New Roman" w:eastAsia="SimSun" w:cs="Times New Roman"/>
          <w:b w:val="0"/>
          <w:bCs w:val="0"/>
          <w:kern w:val="0"/>
          <w:sz w:val="24"/>
          <w:szCs w:val="24"/>
          <w:lang w:val="en-US" w:eastAsia="zh-CN"/>
        </w:rPr>
        <w:t xml:space="preserve">Таким образом, по мнению Департамента, вопросы процедуры согласования органами внутреннего муниципального финансового контроля положения о закупках не могут рассматриваться в пределах установленных бюджетным законодательством Российской Федерации соответствующих полномочий по осуществлению внутреннего муниципального финансового контроля, но подлежат решению исходя из требований, установленных положениями Закона N 223-ФЗ, а также муниципальных правовых актов, в том числе регулирующих взаимодействие органов местного самоуправления и организаций, а также внутреннюю организацию работы органов местного самоуправления. </w:t>
      </w:r>
    </w:p>
    <w:p>
      <w:pPr>
        <w:rPr>
          <w:rFonts w:hint="default" w:ascii="Arial" w:hAnsi="Arial" w:eastAsia="SimSun"/>
          <w:b/>
          <w:bCs/>
          <w:kern w:val="0"/>
          <w:sz w:val="24"/>
          <w:szCs w:val="24"/>
          <w:lang w:val="en-US" w:eastAsia="zh-CN"/>
        </w:rPr>
      </w:pPr>
      <w:r>
        <w:rPr>
          <w:rFonts w:hint="default" w:ascii="Arial" w:hAnsi="Arial" w:eastAsia="SimSun"/>
          <w:b/>
          <w:bCs/>
          <w:kern w:val="0"/>
          <w:sz w:val="24"/>
          <w:szCs w:val="24"/>
          <w:lang w:val="en-US" w:eastAsia="zh-CN"/>
        </w:rPr>
        <w:t xml:space="preserve">  </w:t>
      </w:r>
    </w:p>
    <w:sectPr>
      <w:pgSz w:w="11906" w:h="16838"/>
      <w:pgMar w:top="1440" w:right="1800" w:bottom="1440" w:left="24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57DE0"/>
    <w:rsid w:val="04E5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2022-12-06T06:01:00Z</dcterms:created>
  <dc:creator>rahma</dc:creator>
  <cp:lastModifiedBy>rahma</cp:lastModifiedBy>
  <dcterms:modified xsi:type="dcterms:W3CDTF">2022-12-06T06:17:24Z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98377BCE0F104C3DA956F0A89CD79B3F</vt:lpwstr>
  </property>
</Properties>
</file>