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  <w:t xml:space="preserve">от 23 декабря 2022 г. </w:t>
      </w:r>
      <w:r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/>
          <w:bCs/>
          <w:color w:val="auto"/>
          <w:sz w:val="24"/>
          <w:szCs w:val="24"/>
          <w:u w:val="none"/>
        </w:rPr>
        <w:t xml:space="preserve"> 28-05-09/126672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Минфин России рассмотрел обращение, поступившее письмом Минэкономразвития России, и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В соответствии с Регламентом Министерства финансов Российской Федерации, утвержденным приказом Минфина России от 14 сентября 2018 г.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194н, Минфин России не осуществляет разъяснение законодательства Российской Федерации и практики его применения.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Вместе с тем полагаем необходимым обратить внимание на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С учетом положений части 1 статьи 1 Федерального закона от 18 июля 2011 г.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223-ФЗ) под закупкой понимается в том числе создание условий для своевременного и полного удовлетворения потребностей юридических лиц, указанных в части 2 статьи 1 Закона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 (далее - заказчики), в товарах, работах, услугах, в том числе для целей коммерческого использования, с необходимыми показателями цены, качества и надежности.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При этом частью 2.1 статьи 1 Закона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 определены юридические лица, на которые не распространяется действие указанного федерального закона.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Частью 4 статьи 1 Закона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 определены отношения, которые не регулируются Законом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Таким образом, заказчиками при осуществлении закупок товаров, работ, услуг подлежит применению Закон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223-ФЗ, за исключением случаев, установленных указанным федеральным законом.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Согласно пунктам 1, 3 статьи 420 Гражданского кодекса Российской Федерации (далее - ГК РФ) договором признается соглашение об установлении, изменении или прекращении гражданских прав и обязанностей. К обязательствам, возникшим из договора, применяются общие положения об обязательствах (статьи 307 - 419 ГК РФ).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В силу обязательства одно лицо (должник) обязано совершить в пользу другого лица (кредитора) определенное действие, а кредитор имеет право требовать от должника исполнения его обязанности (пункт 1 статьи 307 ГК РФ).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При этом пунктом 1 статьи 423 ГК РФ установлено, что возмездным договором является договор, по которому сторона должна получить плату или иное встречное предоставление за исполнение своих обязанностей.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В связи с изложенным, отношения, подпадающие под регулирование Закона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223-ФЗ, характеризуются возможностью удовлетворения потребностей заказчиков в необходимых им товарах, работах, услугах путем заключения возмездных договоров с поставщиками (исполнителями, подрядчиками).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При этом юридические лица самостоятельно соотносят возникающие правоотношения с соответствующими требованиями Закона </w:t>
      </w: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 xml:space="preserve"> 223-ФЗ, в том числе в целях определения необходимости его применения при совершении сделок, заключении договоров и соглашений, с учетом содержания таких возникающих правоотношений.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Врио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регулирования имущественных отношений</w:t>
      </w:r>
    </w:p>
    <w:p>
      <w:pPr>
        <w:ind w:left="0" w:leftChars="0" w:firstLine="998" w:firstLineChars="416"/>
        <w:jc w:val="right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В.Н.ГРАЧЕВ</w:t>
      </w:r>
    </w:p>
    <w:p>
      <w:pPr>
        <w:ind w:left="0" w:leftChars="0" w:firstLine="998" w:firstLineChars="416"/>
        <w:jc w:val="right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imSun"/>
          <w:b w:val="0"/>
          <w:bCs w:val="0"/>
          <w:color w:val="auto"/>
          <w:sz w:val="24"/>
          <w:szCs w:val="24"/>
          <w:u w:val="none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1093"/>
    <w:rsid w:val="47455DA5"/>
    <w:rsid w:val="79E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2023-01-16T07:16:00Z</dcterms:created>
  <dc:creator>rahma</dc:creator>
  <cp:lastModifiedBy>rahma</cp:lastModifiedBy>
  <dcterms:modified xsi:type="dcterms:W3CDTF">2023-01-16T08:42:37Z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8C465812BB894C8B90F96293D17E0E4A</vt:lpwstr>
  </property>
</Properties>
</file>