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Зарегистрировано в Минюсте России 6 мая 2014 г. N 32183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МИНИСТЕРСТВО ЭКОНОМИЧЕСКОГО РАЗВИТИЯ РОССИЙСКОЙ ФЕДЕРАЦИИ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ПРИКАЗ</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 25 марта 2014 г. N 155</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УСЛОВИЯХ</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ДОПУСКА ТОВАРОВ, ПРОИСХОДЯЩИХ ИЗ ИНОСТРАННЫХ ГОСУДАРСТВ,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ДЛЯ ЦЕЛЕЙ ОСУЩЕСТВЛЕНИЯ ЗАКУПОК ТОВАРОВ, РАБОТ, УСЛУГ</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ДЛЯ ОБЕСПЕЧЕНИЯ ГОСУДАРСТВЕННЫХ И МУНИЦИПАЛЬНЫХ НУЖД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частью 4 статьи 14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(далее - Федеральный закон) установить, что: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Настоящий приказ определяет условия допуска для целей осуществления закупок следующих товаров, происходящих из иностранных государств: картофель (01.11.21) &lt;*&gt;, морковь столовая (01.12.11.111), свекла столовая (01.12.11.113), лук репчатый (01.12.11.121), томаты (помидоры) (01.12.12.110), огурцы (01.12.12.120), капуста (01.12.13.110), виноград (01.13.1), яблоки (01.13.23.111), рыба живая (05.00.11), рыба свежая или охлажденная (05.00.12), соль глыбовая (14.40.10.120), соль дробленка (14.40.10.130), соль выварочная без добавлений (14.40.10.143), соль молотая (14.40.10.160), говядина подмороженная, замороженная, глубокой заморозки и размороженная: туши и полутуши (15.11.12.111), говядина подмороженная, замороженная, глубокой заморозки и размороженная: четвертины (15.11.12.121), говядина подмороженная, замороженная, глубокой заморозки и размороженная: отрубы (15.11.12.131), свинина подмороженная, замороженная, глубокой заморозки и размороженная: туши и полутуши (15.11.14.110), свинина подмороженная, замороженная, глубокой заморозки и размороженная: четвертины домашних свиней (15.11.14.121), свинина подмороженная, замороженная, глубокой заморозки и размороженная: отрубы домашних свиней (15.11.14.131), свинина подмороженная, замороженная, глубокой заморозки и размороженная: блоки домашних свиней (15.11.14.141), консервы мясные (мясосодержащие) (15.13.12.410), консервы кусковые (15.13.12.411), консервы рубленые (15.13.12.412), консервы фаршевые (15.13.12.413), консервы паштетные (15.13.12.414), консервы ветчинные (15.13.12.415), консервы эмульгированные (15.13.12.416), печень, икра и молоки рыбы свежие или охлажденные (15.20.11.110), филе рыбное свежее или охлажденное (15.20.11.120), мясо рыбы (включая фарш) свежее или охлажденное прочее (15.20.11.190), печень рыбы мороженая (15.20.12.111), икра рыбы мороженая (15.20.12.112), рыба (кроме сельди) мороженая (15.20.12.120), филе рыбное мороженое (15.20.12.140), мясо морской рыбы мороженое прочее (15.20.12.192), рыба сушеная (15.20.13.240), изделия холодного копчения (без сельди) балычные (15.20.13.270), спинка холодного копчения без головы (балык) (15.20.13.272), балычок соленый (15.20.13.284), балычок вяленый (15.20.13.294), консервы рыбные натуральные (15.20.14.110), консервы лососевые натуральные (15.20.14.111), консервы из скумбрии натуральные (15.20.14.112), консервы из сельди натуральные (15.20.14.113), консервы рыбные натуральные прочие (15.20.14.119), консервы рыбные в томатном соусе (15.20.14.120), консервы из сельди в томатном соусе (15.20.14.121), консервы из скумбрии в томатном соусе (15.20.14.122), консервы из камбалы в томатном соусе (15.20.14.123), консервы из сардины в томатном соусе (15.20.14.124), консервы лососевые в томатном соусе (15.20.14.125), консервы рыбные в томатном соусе прочие (15.20.14.129), пресервы рыбные пряного посола (15.20.14.210), пресервы рыбные пряного посола из сельди (15.20.14.211), пресервы рыбные пряного посола из кильки (15.20.14.212), пресервы рыбные пряного посола из скумбрии (15.20.14.213), пресервы рыбные пряного посола из прочей рыбы (15.20.14.219), пресервы рыбные специального посола (15.20.14.220), пресервы рыбные специального посола из сельди (15.20.14.221), пресервы рыбные специального посола из кильки (15.20.14.222), пресервы рыбные специального посола из скумбрии (15.20.14.223), пресервы рыбные специального посола прочие (15.20.14.229), пресервы из разделанной рыбы в различных заливках (15.20.14.230), пресервы из разделанной сельди в различных заливках (15.20.14.231), пресервы из разделанной кильки в различных заливках (15.20.14.232), пресервы из разделанной скумбрии в различных заливках (15.20.14.233), пресервы из прочей разделанной рыбы в различных заливках (15.20.14.239), пресервы из неразделанной рыбы в различных заливках (15.20.14.240), пресервы из неразделанной кильки в различных заливках (15.20.14.241), пресервы из неразделанной тюльки в различных заливках (15.20.14.242), пресервы из прочей неразделанной рыбы в различных заливках (15.20.14.249), масло подсолнечное пищевое нерафинированное, фасованное в потребительскую тару вместимостью не более 5 л (15.41.12.141), масло подсолнечное пищевое нерафинированное, кроме фасованного в потребительскую тару вместимостью не более 5 л (15.41.12.142), масло подсолнечное техническое нерафинированное (15.41.12.143), мука пшеничная высшего сорта (15.61.21.113), мука пшеничная первого сорта (15.61.21.114), мука пшеничная второго сорта (15.61.21.115), мука пшеничная обойная (15.61.21.116), мука пшеничная прочая (15.61.21.129), крахмалы, кроме модифицированных (15.62.22.110), крахмал пшеничный (15.62.22.111), крахмал кукурузный (15.62.22.112), крахмал картофельный (15.62.22.113), крахмал рисовый (15.62.22.114), крахмал маниоковый (15.62.22.115), крахмал сорговый (15.62.22.116), крахмал ячменный (15.62.22.117), крахмал ржаной (15.62.22.118), крахмалы, кроме модифицированных, прочие (15.62.22.119), изделия хлебобулочные недлительного хранения (15.81.11), изделия мучные кондитерские, торты и пирожные недлительного хранения (15.81.12), шоколад и продукты пищевые, содержащие какао (кроме подслащенного какао-порошка), в упакованном виде (15.84.22), кондитерские изделия сахаристые (включая белый шоколад), не содержащие какао (15.84.23), изделия макаронные без начинки, не подвергнутые тепловой обработке или не приготовленные каким-либо другим способом (15.85.11), продукты плодово-ягодные гомогенизированные (15.88.10.140), продукты плодово-ягодные гомогенизированные для детского питания (15.88.10.141), продукты плодово-ягодные гомогенизированные прочие (15.88.10.149), дрожжи (активные и неактивные), прочие микроорганизмы одноклеточные мертвые, порошки пекарные готовые (15.89.13), препараты фармацевтические, продукты медицинские химические и продукты лекарственные растительные (24.4), посуда столовая из фарфора (26.21.11.110), блюда из фарфора (26.21.11.111), тарелки из фарфора (26.21.11.112), масленки из фарфора (26.21.11.113), салатники из фарфора (26.21.11.114), селедочницы из фарфора (26.21.11.115), миски из фарфора (26.21.11.116), сервизы столовые из фарфора (26.21.11.117), посуда столовая из фарфора прочая (26.21.11.119), посуда чайная из фарфора (26.21.11.120), чашки чайные из фарфора (26.21.11.121), блюдца чайные из фарфора (26.21.11.122), чашки чайные с блюдцами из фарфора (26.21.11.123), сахарницы из фарфора (26.21.11.124), чайники из фарфора (26.21.11.125), пиалы из фарфора (26.21.11.126), полоскательницы из фарфора (26.21.11.127), сервизы чайные из фарфора (26.21.11.128), посуда чайная из фарфора прочая (26.21.11.129), посуда кофейная из фарфора (26.21.11.130), чашки кофейные из фарфора (26.21.11.131), блюдца кофейные из фарфора (26.21.11.132), чашки кофейные с блюдцами из фарфора (26.21.11.133), кофейники из фарфора (26.21.11.134), сервизы кофейные из фарфора (26.21.11.135), посуда кофейная из фарфора прочая (26.21.11.139), посуда для специй из фарфора (26.21.11.140), горчичницы из фарфора (26.21.11.141), перечницы из фарфора (26.21.11.142), солонки из фарфора (26.21.11.143), судки и приборы из фарфора (26.21.11.144), подливочники из фарфора (26.21.11.145), посуда для специй из фарфора прочая (26.21.11.149), посуда кухонная из фарфора (26.21.11.150), банки из фарфора (26.21.11.151), горшки из фарфора (26.21.11.152), сырницы из фарфора (26.21.11.153), молочники и сливочники из фарфора (26.21.11.154), сметанницы из фарфора (26.21.11.155), посуда кухонная из фарфора прочая (26.21.11.159), графины, кувшины и другие сосуды для воды из фарфора (26.21.11.192), кружки из фарфора (26.21.11.193), посуда столовая из костяного фарфора (26.21.11.310), блюда из костяного фарфора (26.21.11.311), тарелки из костяного фарфора (26.21.11.312), сервизы столовые из костяного фарфора (26.21.11.313), посуда столовая из костяного фарфора прочая (26.21.11.319), посуда чайная из костяного фарфора (26.21.11.320), чашки чайные из костяного фарфора (26.21.11.321), блюдца чайные из костяного фарфора (26.21.11.322), чашки чайные с блюдцами из костяного фарфора (26.21.11.323), сервизы чайные из костяного фарфора (26.21.11.324), посуда чайная из костяного фарфора прочая (26.21.11.329), посуда кофейная из костяного фарфора (26.21.11.330), чашки кофейные из костяного фарфора (26.21.11.331), блюдца кофейные из костяного фарфора (26.21.11.332), чашки кофейные с блюдцами из костяного фарфора (26.21.11.333), кофейники из костяного фарфора (26.21.11.334), сервизы кофейные из костяного фарфора (26.21.11.335), посуда кофейная из костяного фарфора прочая (26.21.11.339), прокат плоский из нержавеющей стали, кроме холоднокатаного, шириной менее 600 мм (27.10.41), прутки горячекатаные, горячетянутые, экструдированные и кованые (кроме катанки) и профили из нержавеющей стали (27.10.43), прокат плоский холоднокатаный с покрытиями из стали (кроме нержавеющей и быстрорежущей) шириной не менее 600 мм (27.10.72), конструкции стальные шпунтовые, конструкции сварные и материал для железнодорожных путей (27.10.92), трубы и профили пустотелые из литейного чугуна (27.21.10), трубы и профили пустотелые стальные (27.22.10), реакторы ядерные атомных электростанций (28.30.21.110), реакторы ядерные промышленные (28.30.21.120), реакторы ядерные транспортные (28.30.21.130), реакторы ядерные судовые (28.30.21.131), реакторы ядерные атомных подводных лодок (28.30.21.132), реакторы ядерные космических аппаратов (28.30.21.133), реакторы ядерные транспортные прочие (28.30.21.139), оборудование основное и системы ядерных реакторов (28.30.22.110), корпус реактора (28.30.22.111), крышка корпуса реактора (верхний блок) с деталями уплотнения (28.30.22.112), устройства внутрикорпусные ядерных реакторов (28.30.22.113), оборудование тепловой защиты ядерных реакторов (28.30.22.114), системы и оборудование активной зоны ядерных реакторов (28.30.22.115), устройства регулирования и охлаждения ядерных реакторов (28.30.22.116), системы управления и защиты ядерных реакторов (28.30.22.117), оборудование специальное транспортно-технологическое (28.30.22.118), оборудование основное и системы ядерных реакторов прочие (28.30.22.119), оборудование теплообменное ядерных реакторов (28.30.22.120), парогенераторы стационарных установок (28.30.22.121), парогенераторы, системы трубные и узлы парогенераторов транспортных установок (28.30.22.122), испарители и пароперегреватели парогенераторов (28.30.22.123), аппараты теплообменные стационарных установок (28.30.22.124), аппараты теплообменные транспортных установок (28.30.22.125), аппараты теплообменные ядерных энергетических установок космических аппаратов (28.30.22.126), нагреватели ядерных реакторов (28.30.22.127), конденсаторы ядерных реакторов (28.30.22.128), аппараты теплообменные и оборудование ядерных реакторов прочие (28.30.22.129), оборудование эксплуатационное для ядерных реакторов (28.30.22.140), трубопроводы специальные и арматура ядерных реакторов (28.30.22.141), элементы поглощающие ядерных реакторов (28.30.22.142), оборудование биологической защиты (28.30.22.143), оборудование для обслуживания ядерных реакторов (28.30.22.144), оборудование специальное подъемно-транспортное (28.30.22.145), оборудование вспомогательное ядерных реакторов (28.30.22.146), системы и устройства обращения с отработанным ядерным топливом и радиоактивными отходами (28.30.22.147), системы и устройства обращения с ядерным топливом и активированными элементами (28.30.22.148), оборудование эксплуатационное для ядерных реакторов прочее (28.30.22.149), оборудование для испытаний и монтажа ядерных реакторов (28.30.22.150), оборудование и оснастка для монтажа и обслуживания ядерных реакторов (28.30.22.151), гидроамортизаторы, виброгасители для монтажа оборудования ядерных реакторов (28.30.22.152), комплекты монтажных частей для сборки оборудования и конструкций ядерных реакторов (28.30.22.153), детали закладные для крепления частей ядерных реакторов (28.30.22.154), оборудование для испытаний систем и конструкций ядерных реакторов (28.30.22.155), оборудование и оснастка для испытаний трубопроводов и теплообменного оборудования ядерных реакторов (28.30.22.156), металлоконструкции специальные для монтажа и испытаний реакторных установок (28.30.22.158), элементы крепления оборудования ядерных реакторов специальные прочие (28.30.22.159), части ядерных реакторов прочие (28.30.22.190), краны мостовые электрические общего назначения (29.22.14.210), краны мостовые электрические специальные (29.22.14.220), аппараты для дистилляции или ректификации для химической, нефтегазоперерабатывающей промышленности (29.24.11.530), аппараты колонные тарельчатые (29.24.11.531), аппараты колонные насадочные (29.24.11.532), аппараты колонные полые (29.24.11.533), аппараты колонные роторные (29.24.11.534), оборудование для фильтрования или очистки жидкостей (фильтры жидкостные прочие), кроме оборудования для фильтрования или очистки воды и напитков, для химической и нефтяной промышленности (29.24.12.720), прессы гибочно-штамповочные горизонтальные (29.42.33.340), машины трубогибочные (29.42.33.350), ножницы для обработки металла листовые с наклонным ножом (гильотинные) (29.42.33.510), ножницы и пресс-ножницы комбинированные (29.42.33.720), прессы гидравлические ковочные с верхним расположением рабочих цилиндров (29.42.34.221), машины непрерывного литья стали вертикальные (29.51.11.331), машины непрерывного литья стали радиальные (29.51.11.332), машины непрерывного литья стали криволинейные (29.51.11.333), валки прокатные стальные (для металлопрокатных станов) (29.51.12.510), валки стальные станов холодной прокатки (29.51.12.511), валки стальные станов горячей прокатки (29.51.12.512), экскаваторы одноковшовые самоходные с ковшом вместимостью 4 куб. м и более (29.52.26.180), экскаваторы одноковшовые самоходные с ковшом вместимостью от 4 до 15 куб. м (29.52.26.181), экскаваторы одноковшовые самоходные с ковшом вместимостью 15 куб. м и более (29.52.26.182), грохоты с проволочными ситами или перфорированными решетами (29.52.40.312), грохоты первичные (29.52.40.313), дробилки с вертикальным конусом (29.52.40.321), дробилки щековые разных типов (29.52.40.322), дробилки барабанные (29.52.40.323), дробилки или мельницы валковые (29.52.40.324), мельницы шаровые или стержневые (29.52.40.326), изделия медицинские, включая хирургическое оборудование, ортопедические приспособления (33.10).</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Товары, происходящие из Республики Беларусь и Республики Казахстан, допускаются для целей осуществления закупок товаров, работ, услуг для обеспечения государственных и муниципальных нужд в порядке и на условиях, предусмотренных </w:t>
      </w:r>
      <w:r>
        <w:rPr>
          <w:rFonts w:ascii="Times New Roman" w:hAnsi="Times New Roman" w:cs="Times New Roman" w:eastAsia="Times New Roman"/>
          <w:color w:val="0000FF"/>
          <w:spacing w:val="0"/>
          <w:position w:val="0"/>
          <w:sz w:val="28"/>
          <w:shd w:fill="auto" w:val="clear"/>
        </w:rPr>
        <w:t xml:space="preserve">пунктами 3</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0000FF"/>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настоящего приказа.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 осуществлении закупок товаров для обеспечения государственных и муниципальных нужд путем проведения конкурса, аукциона или запроса предложений участникам закупки, заявки на участие или окончательные предложения которых содержат предложения о поставке товаров российского, белорусского и (или) казахстанского происхождения, предоставляются преференции в отношении цены контракта в размере 15 процентов в порядке, предусмотренном </w:t>
      </w:r>
      <w:r>
        <w:rPr>
          <w:rFonts w:ascii="Times New Roman" w:hAnsi="Times New Roman" w:cs="Times New Roman" w:eastAsia="Times New Roman"/>
          <w:color w:val="0000FF"/>
          <w:spacing w:val="0"/>
          <w:position w:val="0"/>
          <w:sz w:val="28"/>
          <w:shd w:fill="auto" w:val="clear"/>
        </w:rPr>
        <w:t xml:space="preserve">пунктами 4</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0000FF"/>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настоящего приказа.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 осуществлении закупок товаров для обеспечения государственных и муниципальных нужд путем проведения конкурса рассмотрение и оценка заявок на участие в конкурсе, которые содержат предложения о поставке товаров, указанных в </w:t>
      </w:r>
      <w:r>
        <w:rPr>
          <w:rFonts w:ascii="Times New Roman" w:hAnsi="Times New Roman" w:cs="Times New Roman" w:eastAsia="Times New Roman"/>
          <w:color w:val="0000FF"/>
          <w:spacing w:val="0"/>
          <w:position w:val="0"/>
          <w:sz w:val="28"/>
          <w:shd w:fill="auto" w:val="clear"/>
        </w:rPr>
        <w:t xml:space="preserve">пункте 1</w:t>
      </w:r>
      <w:r>
        <w:rPr>
          <w:rFonts w:ascii="Times New Roman" w:hAnsi="Times New Roman" w:cs="Times New Roman" w:eastAsia="Times New Roman"/>
          <w:color w:val="auto"/>
          <w:spacing w:val="0"/>
          <w:position w:val="0"/>
          <w:sz w:val="28"/>
          <w:shd w:fill="auto" w:val="clear"/>
        </w:rPr>
        <w:t xml:space="preserve"> настоящего приказа, российского, белорусского и (или) казахстанского происхождения, по критерию "цена контракта" производятся с применением к предложенной в указанных заявках цене государственного (муниципального) контракта, гражданско-правового договора бюджетного учреждения либо иного юридического лица в соответствии с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частями 1</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4</w:t>
        </w:r>
      </w:hyperlink>
      <w:r>
        <w:rPr>
          <w:rFonts w:ascii="Times New Roman" w:hAnsi="Times New Roman" w:cs="Times New Roman" w:eastAsia="Times New Roman"/>
          <w:color w:val="auto"/>
          <w:spacing w:val="0"/>
          <w:position w:val="0"/>
          <w:sz w:val="28"/>
          <w:shd w:fill="auto" w:val="clear"/>
        </w:rPr>
        <w:t xml:space="preserve"> -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5 статьи 15</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(далее - контракт) понижающего 15-процентного коэффициента.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Контракт заключается по цене контракта, предложенной участником конкурса в заявке на участие в конкурсе.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При осуществлении закупок товаров для обеспечения государственных и муниципальных нужд путем проведения запроса предложений рассмотрение и оценка заявок на участие в запросе предложений, окончательных предложений, которые содержат предложения о поставке товаров, указанных в </w:t>
      </w:r>
      <w:r>
        <w:rPr>
          <w:rFonts w:ascii="Times New Roman" w:hAnsi="Times New Roman" w:cs="Times New Roman" w:eastAsia="Times New Roman"/>
          <w:color w:val="0000FF"/>
          <w:spacing w:val="0"/>
          <w:position w:val="0"/>
          <w:sz w:val="28"/>
          <w:shd w:fill="auto" w:val="clear"/>
        </w:rPr>
        <w:t xml:space="preserve">пункте 1</w:t>
      </w:r>
      <w:r>
        <w:rPr>
          <w:rFonts w:ascii="Times New Roman" w:hAnsi="Times New Roman" w:cs="Times New Roman" w:eastAsia="Times New Roman"/>
          <w:color w:val="auto"/>
          <w:spacing w:val="0"/>
          <w:position w:val="0"/>
          <w:sz w:val="28"/>
          <w:shd w:fill="auto" w:val="clear"/>
        </w:rPr>
        <w:t xml:space="preserve"> настоящего приказа, российского, белорусского и (или) казахстанского происхождения, по критерию "цена контракта" производятся с применением к цене контракта, предложенной в указанных заявках, понижающего 15-процентного коэффициента.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Контракт заключается по цене контракта, предложенной участником запроса предложений в окончательном предложении.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 случае если несколькими участниками конкурса, участниками запроса предложений представлены одинаковые условия исполнения контракта с учетом предоставления преференции, контракт заключается с участником конкурса, участником запроса предложений, имеющим право на предоставление преференции.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среди участников конкурса, участников запроса предложений, предложивших лучшие условия исполнения контракта, право на предоставление преференции имеют несколько участников, предложивших одинаковые условия исполнения контракта, контракт заключается с участником, заявка на участие в конкурсе, окончательное предложение которого поступили ранее других заявок, окончательных предложений.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w:t>
      </w:r>
      <w:r>
        <w:rPr>
          <w:rFonts w:ascii="Times New Roman" w:hAnsi="Times New Roman" w:cs="Times New Roman" w:eastAsia="Times New Roman"/>
          <w:color w:val="0000FF"/>
          <w:spacing w:val="0"/>
          <w:position w:val="0"/>
          <w:sz w:val="28"/>
          <w:shd w:fill="auto" w:val="clear"/>
        </w:rPr>
        <w:t xml:space="preserve">пункте 1</w:t>
      </w:r>
      <w:r>
        <w:rPr>
          <w:rFonts w:ascii="Times New Roman" w:hAnsi="Times New Roman" w:cs="Times New Roman" w:eastAsia="Times New Roman"/>
          <w:color w:val="auto"/>
          <w:spacing w:val="0"/>
          <w:position w:val="0"/>
          <w:sz w:val="28"/>
          <w:shd w:fill="auto" w:val="clear"/>
        </w:rPr>
        <w:t xml:space="preserve"> настоящего приказа, происходящих из иностранных государств, за исключением товаров, происходящих из Республики Беларусь и Республики Казахстан, контракт с таким победителем аукциона заключается по цене, предложенной участником аукциона, сниженной на 15 процентов от предложенной цены контракта.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При осуществлении закупок товаров для обеспечения государственных и муниципальных нужд путем проведения конкурса, аукциона, запроса предложений порядок, установленный </w:t>
      </w:r>
      <w:r>
        <w:rPr>
          <w:rFonts w:ascii="Times New Roman" w:hAnsi="Times New Roman" w:cs="Times New Roman" w:eastAsia="Times New Roman"/>
          <w:color w:val="0000FF"/>
          <w:spacing w:val="0"/>
          <w:position w:val="0"/>
          <w:sz w:val="28"/>
          <w:shd w:fill="auto" w:val="clear"/>
        </w:rPr>
        <w:t xml:space="preserve">пунктами 3</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0000FF"/>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настоящего приказа, не применяется в случаях, если: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 рамках одного конкурса (лота), одного аукциона (лота), одного запроса предложений предполагается поставка товаров, только часть из которых включена в перечень товаров, указанных в </w:t>
      </w:r>
      <w:r>
        <w:rPr>
          <w:rFonts w:ascii="Times New Roman" w:hAnsi="Times New Roman" w:cs="Times New Roman" w:eastAsia="Times New Roman"/>
          <w:color w:val="0000FF"/>
          <w:spacing w:val="0"/>
          <w:position w:val="0"/>
          <w:sz w:val="28"/>
          <w:shd w:fill="auto" w:val="clear"/>
        </w:rPr>
        <w:t xml:space="preserve">пункте 1</w:t>
      </w:r>
      <w:r>
        <w:rPr>
          <w:rFonts w:ascii="Times New Roman" w:hAnsi="Times New Roman" w:cs="Times New Roman" w:eastAsia="Times New Roman"/>
          <w:color w:val="auto"/>
          <w:spacing w:val="0"/>
          <w:position w:val="0"/>
          <w:sz w:val="28"/>
          <w:shd w:fill="auto" w:val="clear"/>
        </w:rPr>
        <w:t xml:space="preserve"> настоящего приказа;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конкурс, аукцион, запрос предложений признается не состоявшимся в случаях, указанных в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частях 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7 статьи 55</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частях 1</w:t>
        </w:r>
      </w:hyperlink>
      <w:r>
        <w:rPr>
          <w:rFonts w:ascii="Times New Roman" w:hAnsi="Times New Roman" w:cs="Times New Roman" w:eastAsia="Times New Roman"/>
          <w:color w:val="auto"/>
          <w:spacing w:val="0"/>
          <w:position w:val="0"/>
          <w:sz w:val="28"/>
          <w:shd w:fill="auto" w:val="clear"/>
        </w:rPr>
        <w:t xml:space="preserve"> -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3 статьи 71</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части 18 статьи 83</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части 8 статьи 89</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статье 92</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 заявках на участие в конкурсе, аукционе или запросе предложений, окончательных предложениях не содержится предложений о поставке товаров российского, белорусского и (или) казахстанского происхождения, указанных в </w:t>
      </w:r>
      <w:r>
        <w:rPr>
          <w:rFonts w:ascii="Times New Roman" w:hAnsi="Times New Roman" w:cs="Times New Roman" w:eastAsia="Times New Roman"/>
          <w:color w:val="0000FF"/>
          <w:spacing w:val="0"/>
          <w:position w:val="0"/>
          <w:sz w:val="28"/>
          <w:shd w:fill="auto" w:val="clear"/>
        </w:rPr>
        <w:t xml:space="preserve">пункте 1</w:t>
      </w:r>
      <w:r>
        <w:rPr>
          <w:rFonts w:ascii="Times New Roman" w:hAnsi="Times New Roman" w:cs="Times New Roman" w:eastAsia="Times New Roman"/>
          <w:color w:val="auto"/>
          <w:spacing w:val="0"/>
          <w:position w:val="0"/>
          <w:sz w:val="28"/>
          <w:shd w:fill="auto" w:val="clear"/>
        </w:rPr>
        <w:t xml:space="preserve"> настоящего приказа;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в рамках одного аукциона (лота) предполагается поставка товаров, указанных в </w:t>
      </w:r>
      <w:r>
        <w:rPr>
          <w:rFonts w:ascii="Times New Roman" w:hAnsi="Times New Roman" w:cs="Times New Roman" w:eastAsia="Times New Roman"/>
          <w:color w:val="0000FF"/>
          <w:spacing w:val="0"/>
          <w:position w:val="0"/>
          <w:sz w:val="28"/>
          <w:shd w:fill="auto" w:val="clear"/>
        </w:rPr>
        <w:t xml:space="preserve">пункте 1</w:t>
      </w:r>
      <w:r>
        <w:rPr>
          <w:rFonts w:ascii="Times New Roman" w:hAnsi="Times New Roman" w:cs="Times New Roman" w:eastAsia="Times New Roman"/>
          <w:color w:val="auto"/>
          <w:spacing w:val="0"/>
          <w:position w:val="0"/>
          <w:sz w:val="28"/>
          <w:shd w:fill="auto" w:val="clear"/>
        </w:rPr>
        <w:t xml:space="preserve"> настоящего приказа, и участник аукциона, признанный победителем, в своей заявке предлагает к поставке товары российского, белорусского и (или) казахстанского и иностранного происхождения, при этом стоимость товаров российского, белорусского и (или) казахстанского происхождения составляет более половины (более 50%) стоимости всех предложенных таким участником товаров;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в рамках одного конкурса (лота) или запроса предложений предполагается поставка товаров, указанных в </w:t>
      </w:r>
      <w:r>
        <w:rPr>
          <w:rFonts w:ascii="Times New Roman" w:hAnsi="Times New Roman" w:cs="Times New Roman" w:eastAsia="Times New Roman"/>
          <w:color w:val="0000FF"/>
          <w:spacing w:val="0"/>
          <w:position w:val="0"/>
          <w:sz w:val="28"/>
          <w:shd w:fill="auto" w:val="clear"/>
        </w:rPr>
        <w:t xml:space="preserve">пункте 1</w:t>
      </w:r>
      <w:r>
        <w:rPr>
          <w:rFonts w:ascii="Times New Roman" w:hAnsi="Times New Roman" w:cs="Times New Roman" w:eastAsia="Times New Roman"/>
          <w:color w:val="auto"/>
          <w:spacing w:val="0"/>
          <w:position w:val="0"/>
          <w:sz w:val="28"/>
          <w:shd w:fill="auto" w:val="clear"/>
        </w:rPr>
        <w:t xml:space="preserve"> настоящего приказа, и участник конкурса или запроса предложений в своей заявке, окончательном предложении предлагает к поставке товары российского, белорусского и (или) казахстанского и иностранного происхождения, при этом стоимость товаров российского, белорусского и (или) казахстанского происхождения составляет менее половины (менее 50%) стоимости всех предложенных таким участником товаров.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Для целей реализации настоящего приказа рекомендуется устанавливать в документации о закупке: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требование об указании (декларировании) участником конкурса, аукциона или запроса предложений в заявке на участие в конкурсе, аукционе или запросе предложений, окончательном предложении страны происхождения поставляемого товара;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требование об указании в заявке на участие в конкурсе, запросе предложений, окончательном предложении цены за единицу товара по каждой предлагаемой участником закупки позиции;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о том, что ответственность за достоверность сведений о стране происхождения товара, указанного в заявке на участие в конкурсе, аукционе, запросе предложений, окончательном предложении несет участник закупки.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В контракте рекомендуется указывать страну происхождения поставляемого товара на основании сведений, содержащихся в заявке участника конкурса, аукциона или запроса предложений, окончательном предложении, с которым заключается контракт, и данные документа, подтверждающего страну происхождения товара, при наличии такого документа.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случае если победителем аукциона в заявке на участие в аукционе не продекларировано соотношение долей товаров российского (белорусского и (или) казахстанского) и иностранного происхождения, то указанная доля товаров исчисляется по цене за единицу товара, полученной при обосновании начальной (максимальной) цены контракта.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случае если победитель аукциона признан уклонившимся от заключения контракта, заказчик заключает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с предоставлением преференции в отношении цены контракта такого участника аукциона в порядке, предусмотренном </w:t>
      </w:r>
      <w:r>
        <w:rPr>
          <w:rFonts w:ascii="Times New Roman" w:hAnsi="Times New Roman" w:cs="Times New Roman" w:eastAsia="Times New Roman"/>
          <w:color w:val="0000FF"/>
          <w:spacing w:val="0"/>
          <w:position w:val="0"/>
          <w:sz w:val="28"/>
          <w:shd w:fill="auto" w:val="clear"/>
        </w:rPr>
        <w:t xml:space="preserve">пунктом 7</w:t>
      </w:r>
      <w:r>
        <w:rPr>
          <w:rFonts w:ascii="Times New Roman" w:hAnsi="Times New Roman" w:cs="Times New Roman" w:eastAsia="Times New Roman"/>
          <w:color w:val="auto"/>
          <w:spacing w:val="0"/>
          <w:position w:val="0"/>
          <w:sz w:val="28"/>
          <w:shd w:fill="auto" w:val="clear"/>
        </w:rPr>
        <w:t xml:space="preserve"> настоящего приказа.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&lt;*&gt;.</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&lt;*&gt;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Пункт 1 статьи 58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Таможенного кодекса Таможенного союза (Собрание законодательства, 2010, N 50, ст. 6615).</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Настоящий приказ вступает в силу по истечении десяти дней после дня его официального опубликования и действует до 31 декабря 2015 года.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Министр</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А.В.УЛЮКАЕВ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Примечание к документу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Начало действия документа - 01.06.2014</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 публикации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 112, 21.05.2014</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ode="External" Target="consultantplus://offline/ref=54EFD6CC28453A05D42A556F5924E78B179CF22E368416EF3A73DDA8151BC8401D182FD217CB6962mDu5D" Id="docRId3" Type="http://schemas.openxmlformats.org/officeDocument/2006/relationships/hyperlink"/><Relationship TargetMode="External" Target="consultantplus://offline/ref=54EFD6CC28453A05D42A556F5924E78B179CF22E368416EF3A73DDA8151BC8401D182FD217CB6166mDu7D" Id="docRId7" Type="http://schemas.openxmlformats.org/officeDocument/2006/relationships/hyperlink"/><Relationship TargetMode="External" Target="consultantplus://offline/ref=54EFD6CC28453A05D42A556F5924E78B179CF22E368416EF3A73DDA8151BC8401D182FD217CA6A64mDu6D" Id="docRId10" Type="http://schemas.openxmlformats.org/officeDocument/2006/relationships/hyperlink"/><Relationship TargetMode="External" Target="consultantplus://offline/ref=54EFD6CC28453A05D42A556F5924E78B179CF22E368416EF3A73DDA8151BC8401D182FD217CA6E68mDu7D" Id="docRId2" Type="http://schemas.openxmlformats.org/officeDocument/2006/relationships/hyperlink"/><Relationship TargetMode="External" Target="consultantplus://offline/ref=54EFD6CC28453A05D42A556F5924E78B179CF22E368416EF3A73DDA8151BC8401D182FD217CB6164mDuDD" Id="docRId6" Type="http://schemas.openxmlformats.org/officeDocument/2006/relationships/hyperlink"/><Relationship TargetMode="External" Target="consultantplus://offline/ref=54EFD6CC28453A05D42A556F5924E78B179CF22E368416EF3A73DDA8151BC8401D182FD217CB6963mDu6D" Id="docRId1" Type="http://schemas.openxmlformats.org/officeDocument/2006/relationships/hyperlink"/><Relationship TargetMode="External" Target="consultantplus://offline/ref=54EFD6CC28453A05D42A556F5924E78B1799F526358B16EF3A73DDA8151BC8401D182FD217CB6C60mDu3D" Id="docRId11" Type="http://schemas.openxmlformats.org/officeDocument/2006/relationships/hyperlink"/><Relationship TargetMode="External" Target="consultantplus://offline/ref=54EFD6CC28453A05D42A556F5924E78B179CF22E368416EF3A73DDA8151BC8401D182FD217CB6F60mDu7D" Id="docRId5" Type="http://schemas.openxmlformats.org/officeDocument/2006/relationships/hyperlink"/><Relationship TargetMode="External" Target="consultantplus://offline/ref=54EFD6CC28453A05D42A556F5924E78B179CF22E368416EF3A73DDA8151BC8401D182FD217CA6A63mDu0D" Id="docRId9" Type="http://schemas.openxmlformats.org/officeDocument/2006/relationships/hyperlink"/><Relationship TargetMode="External" Target="consultantplus://offline/ref=54EFD6CC28453A05D42A556F5924E78B179CF22E368416EF3A73DDA8151BC8401D182FD217CB6963mDu5D" Id="docRId0" Type="http://schemas.openxmlformats.org/officeDocument/2006/relationships/hyperlink"/><Relationship Target="numbering.xml" Id="docRId12" Type="http://schemas.openxmlformats.org/officeDocument/2006/relationships/numbering"/><Relationship TargetMode="External" Target="consultantplus://offline/ref=54EFD6CC28453A05D42A556F5924E78B179CF22E368416EF3A73DDA8151BC8401D182FD217CB6F61mDu5D" Id="docRId4" Type="http://schemas.openxmlformats.org/officeDocument/2006/relationships/hyperlink"/><Relationship TargetMode="External" Target="consultantplus://offline/ref=54EFD6CC28453A05D42A556F5924E78B179CF22E368416EF3A73DDA8151BC8401D182FD217CA6F66mDu6D" Id="docRId8" Type="http://schemas.openxmlformats.org/officeDocument/2006/relationships/hyperlink"/></Relationships>
</file>