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 xml:space="preserve">Приказ Минфина России от 24 декабря 2021 г. </w:t>
      </w:r>
      <w:r>
        <w:rPr>
          <w:rFonts w:ascii="Times New Roman" w:eastAsia="Times New Roman" w:hAnsi="Times New Roman" w:cs="Times New Roman"/>
          <w:color w:val="22272F"/>
          <w:sz w:val="32"/>
          <w:szCs w:val="32"/>
          <w:lang w:eastAsia="ru-RU"/>
        </w:rPr>
        <w:t>№</w:t>
      </w:r>
      <w:r w:rsidRPr="00F4558C">
        <w:rPr>
          <w:rFonts w:ascii="Times New Roman" w:eastAsia="Times New Roman" w:hAnsi="Times New Roman" w:cs="Times New Roman"/>
          <w:color w:val="22272F"/>
          <w:sz w:val="32"/>
          <w:szCs w:val="32"/>
          <w:lang w:eastAsia="ru-RU"/>
        </w:rPr>
        <w:t> 227н</w:t>
      </w:r>
      <w:r w:rsidRPr="00F4558C">
        <w:rPr>
          <w:rFonts w:ascii="Times New Roman" w:eastAsia="Times New Roman" w:hAnsi="Times New Roman" w:cs="Times New Roman"/>
          <w:color w:val="22272F"/>
          <w:sz w:val="32"/>
          <w:szCs w:val="32"/>
          <w:lang w:eastAsia="ru-RU"/>
        </w:rPr>
        <w:br/>
        <w:t>"Об утверждении Порядка присвоения, применения, а также изменения идентификационных кодов гарантов и Порядка присвоения, применения, а также изменения идентификационных кодов заказчиков"</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В соответствии с пунктом 18 Правил ведения и размещения в единой информационной системе в сфере закупок реестра независимых гарантий, утвержденных постановлением Правительства Российской Федерации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46, ст. 5947; Официальный интернет-портал правовой информации (www.pravo.gov.ru), 2021, 24 декабря), пунктом 16 Правил ведения реестра контрактов, заключенных заказчиками, и пунктом 15 Правил ведения реестра контрактов, содержащего сведения, составляющие государственную тайну, утвержденных постановлением Правительства Российской Федерации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 49, ст. 6427), приказываю:</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1. Утвердить прилагаемые:</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Порядок присвоения, применения, а также изменения идентификационных кодов гарантов;</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Порядок присвоения, применения, а также изменения идентификационных кодов заказчиков.</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2. Признать утратившими силу: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приказ Министерства финансов Российской Федерации от 18 декабря 2013 г. №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 (зарегистрирован Министерством юстиции Российской Федерации 21 февраля 2014 г., регистрационный № 31386);</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приказ Министерства</w:t>
      </w:r>
      <w:r>
        <w:rPr>
          <w:rFonts w:ascii="Times New Roman" w:eastAsia="Times New Roman" w:hAnsi="Times New Roman" w:cs="Times New Roman"/>
          <w:color w:val="22272F"/>
          <w:sz w:val="23"/>
          <w:szCs w:val="23"/>
          <w:lang w:eastAsia="ru-RU"/>
        </w:rPr>
        <w:t xml:space="preserve"> </w:t>
      </w:r>
      <w:r w:rsidRPr="00F4558C">
        <w:rPr>
          <w:rFonts w:ascii="Times New Roman" w:eastAsia="Times New Roman" w:hAnsi="Times New Roman" w:cs="Times New Roman"/>
          <w:color w:val="22272F"/>
          <w:sz w:val="23"/>
          <w:szCs w:val="23"/>
          <w:lang w:eastAsia="ru-RU"/>
        </w:rPr>
        <w:t xml:space="preserve">финансов Российской Федерации от 5 февраля 2019 г. </w:t>
      </w:r>
      <w:r>
        <w:rPr>
          <w:rFonts w:ascii="Times New Roman" w:eastAsia="Times New Roman" w:hAnsi="Times New Roman" w:cs="Times New Roman"/>
          <w:color w:val="22272F"/>
          <w:sz w:val="23"/>
          <w:szCs w:val="23"/>
          <w:lang w:eastAsia="ru-RU"/>
        </w:rPr>
        <w:t>№</w:t>
      </w:r>
      <w:r w:rsidRPr="00F4558C">
        <w:rPr>
          <w:rFonts w:ascii="Times New Roman" w:eastAsia="Times New Roman" w:hAnsi="Times New Roman" w:cs="Times New Roman"/>
          <w:color w:val="22272F"/>
          <w:sz w:val="23"/>
          <w:szCs w:val="23"/>
          <w:lang w:eastAsia="ru-RU"/>
        </w:rPr>
        <w:t xml:space="preserve"> 15н "О внесении изменений в приказ Министерства финансов Российской Федерации от 18 декабря 2013 г. </w:t>
      </w:r>
      <w:r>
        <w:rPr>
          <w:rFonts w:ascii="Times New Roman" w:eastAsia="Times New Roman" w:hAnsi="Times New Roman" w:cs="Times New Roman"/>
          <w:color w:val="22272F"/>
          <w:sz w:val="23"/>
          <w:szCs w:val="23"/>
          <w:lang w:eastAsia="ru-RU"/>
        </w:rPr>
        <w:t>№</w:t>
      </w:r>
      <w:r w:rsidRPr="00F4558C">
        <w:rPr>
          <w:rFonts w:ascii="Times New Roman" w:eastAsia="Times New Roman" w:hAnsi="Times New Roman" w:cs="Times New Roman"/>
          <w:color w:val="22272F"/>
          <w:sz w:val="23"/>
          <w:szCs w:val="23"/>
          <w:lang w:eastAsia="ru-RU"/>
        </w:rPr>
        <w:t xml:space="preserve"> 127н" (зарегистрирован Министерством юстиции Российской Федерации 31 мая 2019 г., регистрационный </w:t>
      </w:r>
      <w:r>
        <w:rPr>
          <w:rFonts w:ascii="Times New Roman" w:eastAsia="Times New Roman" w:hAnsi="Times New Roman" w:cs="Times New Roman"/>
          <w:color w:val="22272F"/>
          <w:sz w:val="23"/>
          <w:szCs w:val="23"/>
          <w:lang w:eastAsia="ru-RU"/>
        </w:rPr>
        <w:t>№</w:t>
      </w:r>
      <w:r w:rsidRPr="00F4558C">
        <w:rPr>
          <w:rFonts w:ascii="Times New Roman" w:eastAsia="Times New Roman" w:hAnsi="Times New Roman" w:cs="Times New Roman"/>
          <w:color w:val="22272F"/>
          <w:sz w:val="23"/>
          <w:szCs w:val="23"/>
          <w:lang w:eastAsia="ru-RU"/>
        </w:rPr>
        <w:t> 54811).</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3. Настоящий приказ вступает в силу с 1 января 2022 года.</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F4558C" w:rsidRPr="00F4558C" w:rsidTr="00F4558C">
        <w:tc>
          <w:tcPr>
            <w:tcW w:w="3300" w:type="pct"/>
            <w:vAlign w:val="bottom"/>
            <w:hideMark/>
          </w:tcPr>
          <w:p w:rsidR="00F4558C" w:rsidRPr="00F4558C" w:rsidRDefault="00F4558C" w:rsidP="00F4558C">
            <w:pPr>
              <w:spacing w:after="0" w:line="240" w:lineRule="auto"/>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Министр</w:t>
            </w:r>
          </w:p>
        </w:tc>
        <w:tc>
          <w:tcPr>
            <w:tcW w:w="1650" w:type="pct"/>
            <w:vAlign w:val="bottom"/>
            <w:hideMark/>
          </w:tcPr>
          <w:p w:rsidR="00F4558C" w:rsidRPr="00F4558C" w:rsidRDefault="00F4558C" w:rsidP="00F4558C">
            <w:pPr>
              <w:spacing w:after="0" w:line="240" w:lineRule="auto"/>
              <w:jc w:val="right"/>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А.Г. </w:t>
            </w:r>
            <w:proofErr w:type="spellStart"/>
            <w:r w:rsidRPr="00F4558C">
              <w:rPr>
                <w:rFonts w:ascii="Times New Roman" w:eastAsia="Times New Roman" w:hAnsi="Times New Roman" w:cs="Times New Roman"/>
                <w:sz w:val="24"/>
                <w:szCs w:val="24"/>
                <w:lang w:eastAsia="ru-RU"/>
              </w:rPr>
              <w:t>Силуанов</w:t>
            </w:r>
            <w:proofErr w:type="spellEnd"/>
          </w:p>
        </w:tc>
      </w:tr>
    </w:tbl>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 </w:t>
      </w:r>
    </w:p>
    <w:p w:rsidR="00F4558C" w:rsidRPr="00F4558C" w:rsidRDefault="00F4558C" w:rsidP="00F4558C">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Зарегистрировано в Минюсте РФ 30 декабря 2021 г.</w:t>
      </w:r>
      <w:r w:rsidRPr="00F4558C">
        <w:rPr>
          <w:rFonts w:ascii="Times New Roman" w:eastAsia="Times New Roman" w:hAnsi="Times New Roman" w:cs="Times New Roman"/>
          <w:color w:val="22272F"/>
          <w:sz w:val="23"/>
          <w:szCs w:val="23"/>
          <w:lang w:eastAsia="ru-RU"/>
        </w:rPr>
        <w:br/>
        <w:t xml:space="preserve">Регистрационный </w:t>
      </w:r>
      <w:r>
        <w:rPr>
          <w:rFonts w:ascii="Times New Roman" w:eastAsia="Times New Roman" w:hAnsi="Times New Roman" w:cs="Times New Roman"/>
          <w:color w:val="22272F"/>
          <w:sz w:val="23"/>
          <w:szCs w:val="23"/>
          <w:lang w:eastAsia="ru-RU"/>
        </w:rPr>
        <w:t>№</w:t>
      </w:r>
      <w:r w:rsidRPr="00F4558C">
        <w:rPr>
          <w:rFonts w:ascii="Times New Roman" w:eastAsia="Times New Roman" w:hAnsi="Times New Roman" w:cs="Times New Roman"/>
          <w:color w:val="22272F"/>
          <w:sz w:val="23"/>
          <w:szCs w:val="23"/>
          <w:lang w:eastAsia="ru-RU"/>
        </w:rPr>
        <w:t> 66735</w:t>
      </w:r>
    </w:p>
    <w:p w:rsidR="00F4558C" w:rsidRDefault="00F4558C" w:rsidP="00F4558C">
      <w:pPr>
        <w:spacing w:before="100" w:beforeAutospacing="1" w:after="100" w:afterAutospacing="1" w:line="240" w:lineRule="auto"/>
        <w:jc w:val="right"/>
        <w:rPr>
          <w:rFonts w:ascii="Times New Roman" w:eastAsia="Times New Roman" w:hAnsi="Times New Roman" w:cs="Times New Roman"/>
          <w:b/>
          <w:bCs/>
          <w:color w:val="22272F"/>
          <w:sz w:val="23"/>
          <w:szCs w:val="23"/>
          <w:lang w:eastAsia="ru-RU"/>
        </w:rPr>
      </w:pPr>
    </w:p>
    <w:p w:rsidR="00F4558C" w:rsidRPr="00F4558C" w:rsidRDefault="00F4558C" w:rsidP="00F4558C">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b/>
          <w:bCs/>
          <w:color w:val="22272F"/>
          <w:sz w:val="23"/>
          <w:szCs w:val="23"/>
          <w:lang w:eastAsia="ru-RU"/>
        </w:rPr>
        <w:lastRenderedPageBreak/>
        <w:t>УТВЕРЖДЕН</w:t>
      </w:r>
      <w:r w:rsidRPr="00F4558C">
        <w:rPr>
          <w:rFonts w:ascii="Times New Roman" w:eastAsia="Times New Roman" w:hAnsi="Times New Roman" w:cs="Times New Roman"/>
          <w:b/>
          <w:bCs/>
          <w:color w:val="22272F"/>
          <w:sz w:val="23"/>
          <w:szCs w:val="23"/>
          <w:lang w:eastAsia="ru-RU"/>
        </w:rPr>
        <w:br/>
      </w:r>
      <w:r w:rsidRPr="00F4558C">
        <w:rPr>
          <w:rFonts w:ascii="Times New Roman" w:eastAsia="Times New Roman" w:hAnsi="Times New Roman" w:cs="Times New Roman"/>
          <w:b/>
          <w:bCs/>
          <w:sz w:val="23"/>
          <w:szCs w:val="23"/>
          <w:lang w:eastAsia="ru-RU"/>
        </w:rPr>
        <w:t>приказом</w:t>
      </w:r>
      <w:r w:rsidRPr="00F4558C">
        <w:rPr>
          <w:rFonts w:ascii="Times New Roman" w:eastAsia="Times New Roman" w:hAnsi="Times New Roman" w:cs="Times New Roman"/>
          <w:b/>
          <w:bCs/>
          <w:color w:val="22272F"/>
          <w:sz w:val="23"/>
          <w:szCs w:val="23"/>
          <w:lang w:eastAsia="ru-RU"/>
        </w:rPr>
        <w:t> Министерства финансов</w:t>
      </w:r>
      <w:r w:rsidRPr="00F4558C">
        <w:rPr>
          <w:rFonts w:ascii="Times New Roman" w:eastAsia="Times New Roman" w:hAnsi="Times New Roman" w:cs="Times New Roman"/>
          <w:b/>
          <w:bCs/>
          <w:color w:val="22272F"/>
          <w:sz w:val="23"/>
          <w:szCs w:val="23"/>
          <w:lang w:eastAsia="ru-RU"/>
        </w:rPr>
        <w:br/>
        <w:t>Российской Федерации</w:t>
      </w:r>
      <w:r w:rsidRPr="00F4558C">
        <w:rPr>
          <w:rFonts w:ascii="Times New Roman" w:eastAsia="Times New Roman" w:hAnsi="Times New Roman" w:cs="Times New Roman"/>
          <w:b/>
          <w:bCs/>
          <w:color w:val="22272F"/>
          <w:sz w:val="23"/>
          <w:szCs w:val="23"/>
          <w:lang w:eastAsia="ru-RU"/>
        </w:rPr>
        <w:br/>
        <w:t xml:space="preserve">от 24.12.2021 г. </w:t>
      </w:r>
      <w:r>
        <w:rPr>
          <w:rFonts w:ascii="Times New Roman" w:eastAsia="Times New Roman" w:hAnsi="Times New Roman" w:cs="Times New Roman"/>
          <w:b/>
          <w:bCs/>
          <w:color w:val="22272F"/>
          <w:sz w:val="23"/>
          <w:szCs w:val="23"/>
          <w:lang w:eastAsia="ru-RU"/>
        </w:rPr>
        <w:t>№</w:t>
      </w:r>
      <w:r w:rsidRPr="00F4558C">
        <w:rPr>
          <w:rFonts w:ascii="Times New Roman" w:eastAsia="Times New Roman" w:hAnsi="Times New Roman" w:cs="Times New Roman"/>
          <w:b/>
          <w:bCs/>
          <w:color w:val="22272F"/>
          <w:sz w:val="23"/>
          <w:szCs w:val="23"/>
          <w:lang w:eastAsia="ru-RU"/>
        </w:rPr>
        <w:t> 227н</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Порядок</w:t>
      </w:r>
      <w:r w:rsidRPr="00F4558C">
        <w:rPr>
          <w:rFonts w:ascii="Times New Roman" w:eastAsia="Times New Roman" w:hAnsi="Times New Roman" w:cs="Times New Roman"/>
          <w:color w:val="22272F"/>
          <w:sz w:val="32"/>
          <w:szCs w:val="32"/>
          <w:lang w:eastAsia="ru-RU"/>
        </w:rPr>
        <w:br/>
        <w:t>присвоения, применения, а также изменения идентификационных кодов гарантов</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I. Общие положения</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1. Настоящий Порядок присвоения, применения, а также изменения идентификационных кодов гарантов (далее - ИКГ) определяет правила присвоения, применения, а также изменения ИКГ в целях ведения реестра независимых гарантий.</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II. Структура ИКГ</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 xml:space="preserve">2. Структура ИКГ представляет собой </w:t>
      </w:r>
      <w:proofErr w:type="spellStart"/>
      <w:r w:rsidRPr="00F4558C">
        <w:rPr>
          <w:rFonts w:ascii="Times New Roman" w:eastAsia="Times New Roman" w:hAnsi="Times New Roman" w:cs="Times New Roman"/>
          <w:color w:val="22272F"/>
          <w:sz w:val="23"/>
          <w:szCs w:val="23"/>
          <w:lang w:eastAsia="ru-RU"/>
        </w:rPr>
        <w:t>четырнадцатизначный</w:t>
      </w:r>
      <w:proofErr w:type="spellEnd"/>
      <w:r w:rsidRPr="00F4558C">
        <w:rPr>
          <w:rFonts w:ascii="Times New Roman" w:eastAsia="Times New Roman" w:hAnsi="Times New Roman" w:cs="Times New Roman"/>
          <w:color w:val="22272F"/>
          <w:sz w:val="23"/>
          <w:szCs w:val="23"/>
          <w:lang w:eastAsia="ru-RU"/>
        </w:rPr>
        <w:t xml:space="preserve"> код, в котором:</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а) 1, 2, 3 разряды - код гаранта, состоящий из последовательности символов, включающих в себя цифры или заглавные буквы латинского алфавита от А до Z;</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б) 4 разряд - тип организации (1 - банк, 2 - обособленное подразделение банка, 3 - государственная корпорация развития "ВЭБ.РФ", 4 - обособленное подразделение государственной корпорации развития "ВЭБ.РФ", 5 - Евразийский банк развития, 6 - обособленное подразделение Евразийского банка развития, 7 - фонд содействия кредитованию (гарантийный фонд, фонд поручительства), 8 - обособленное подразделение фонда содействия кредитованию (гарантийного фонда, фонда поручительства);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в) 5, 6, 7, 8, 9, 10, 11, 12, 13 разряды:</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color w:val="22272F"/>
          <w:sz w:val="23"/>
          <w:szCs w:val="23"/>
          <w:lang w:eastAsia="ru-RU"/>
        </w:rPr>
        <w:t>для организаций, имеющих тип 1, 2, 3, 4, 5, 6, - банковский идентификационный код, присвоенный в соответствии с </w:t>
      </w:r>
      <w:r w:rsidRPr="00F4558C">
        <w:rPr>
          <w:rFonts w:ascii="Times New Roman" w:eastAsia="Times New Roman" w:hAnsi="Times New Roman" w:cs="Times New Roman"/>
          <w:sz w:val="23"/>
          <w:szCs w:val="23"/>
          <w:lang w:eastAsia="ru-RU"/>
        </w:rPr>
        <w:t>Положением Банка России от 24 сентября 2020 г. № 732-П "О платежной системе Банка России" (зарегистрировано Министерством юстиции Российской Федерации 10 ноября 2020 г., регистрационный № 60810)</w:t>
      </w:r>
      <w:r w:rsidRPr="00F4558C">
        <w:rPr>
          <w:rFonts w:ascii="Times New Roman" w:eastAsia="Times New Roman" w:hAnsi="Times New Roman" w:cs="Times New Roman"/>
          <w:sz w:val="16"/>
          <w:szCs w:val="16"/>
          <w:vertAlign w:val="superscript"/>
          <w:lang w:eastAsia="ru-RU"/>
        </w:rPr>
        <w:t> 1 </w:t>
      </w:r>
      <w:r w:rsidRPr="00F4558C">
        <w:rPr>
          <w:rFonts w:ascii="Times New Roman" w:eastAsia="Times New Roman" w:hAnsi="Times New Roman" w:cs="Times New Roman"/>
          <w:sz w:val="23"/>
          <w:szCs w:val="23"/>
          <w:lang w:eastAsia="ru-RU"/>
        </w:rPr>
        <w:t>(далее - банковский идентификационный код);</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для организаций, имеющих тип 7, 8, - порядковый номер организации, присваиваемый Министерством финансов Российской Федерации;</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sz w:val="23"/>
          <w:szCs w:val="23"/>
          <w:lang w:eastAsia="ru-RU"/>
        </w:rPr>
        <w:t>г) 14 разряд - контрольное число, рассчитанное согласно </w:t>
      </w:r>
      <w:proofErr w:type="gramStart"/>
      <w:r w:rsidRPr="00F4558C">
        <w:rPr>
          <w:rFonts w:ascii="Times New Roman" w:eastAsia="Times New Roman" w:hAnsi="Times New Roman" w:cs="Times New Roman"/>
          <w:sz w:val="23"/>
          <w:szCs w:val="23"/>
          <w:lang w:eastAsia="ru-RU"/>
        </w:rPr>
        <w:t>приложению</w:t>
      </w:r>
      <w:proofErr w:type="gramEnd"/>
      <w:r w:rsidRPr="00F4558C">
        <w:rPr>
          <w:rFonts w:ascii="Times New Roman" w:eastAsia="Times New Roman" w:hAnsi="Times New Roman" w:cs="Times New Roman"/>
          <w:sz w:val="23"/>
          <w:szCs w:val="23"/>
          <w:lang w:eastAsia="ru-RU"/>
        </w:rPr>
        <w:t xml:space="preserve"> к </w:t>
      </w:r>
      <w:r w:rsidRPr="00F4558C">
        <w:rPr>
          <w:rFonts w:ascii="Times New Roman" w:eastAsia="Times New Roman" w:hAnsi="Times New Roman" w:cs="Times New Roman"/>
          <w:color w:val="22272F"/>
          <w:sz w:val="23"/>
          <w:szCs w:val="23"/>
          <w:lang w:eastAsia="ru-RU"/>
        </w:rPr>
        <w:t>настоящему Порядку.</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III. Присвоение ИКГ</w:t>
      </w:r>
    </w:p>
    <w:p w:rsidR="006F1E5E" w:rsidRPr="006F1E5E" w:rsidRDefault="00F4558C"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 xml:space="preserve">3. </w:t>
      </w:r>
      <w:r w:rsidR="006F1E5E" w:rsidRPr="006F1E5E">
        <w:rPr>
          <w:rFonts w:ascii="Times New Roman" w:eastAsia="Times New Roman" w:hAnsi="Times New Roman" w:cs="Times New Roman"/>
          <w:color w:val="22272F"/>
          <w:sz w:val="23"/>
          <w:szCs w:val="23"/>
          <w:lang w:eastAsia="ru-RU"/>
        </w:rPr>
        <w:t xml:space="preserve">ИКГ присваивается гарантам, являющимся банками, соответствующими требованиям, установленным Правительством Российской Федерации 2, и включенными в перечень, предусмотренный частью 1.2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2017, № 31, ст. 4816) (далее соответственно - перечень банков, Федеральный закон), государственной корпорацией развития "ВЭБ.РФ", фондами содействия кредитованию </w:t>
      </w:r>
      <w:r w:rsidR="006F1E5E" w:rsidRPr="006F1E5E">
        <w:rPr>
          <w:rFonts w:ascii="Times New Roman" w:eastAsia="Times New Roman" w:hAnsi="Times New Roman" w:cs="Times New Roman"/>
          <w:color w:val="22272F"/>
          <w:sz w:val="23"/>
          <w:szCs w:val="23"/>
          <w:lang w:eastAsia="ru-RU"/>
        </w:rPr>
        <w:lastRenderedPageBreak/>
        <w:t>(гарантийными фондами, фондами поручительства),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 № 209-ФЗ "О развитии малого и среднего предпринимательства в Российской Федерации" (Собрание законодательства Российской Федерации, 2007, № 31, ст. 4006; 2021, № 27, ст. 5179) (далее - региональные гарантийные организации), соответствующими требованиям, установленным Правительством Российской Федерации 3, и включенными в перечень региональных гарантийных организаций, предусмотренный частью 1.7 статьи 45 Федерального закона (Собрание законодательства Российской Федерации, 2013, № 14, ст. 1652; 2021, № 27, ст. 5188) (при осуществлении закупок в соответствии с пунктом 1 части 1 статьи 30 Федерального закона (Собрание законодательства Российской Федерации, 2013, № 14, ст. 1652; 2021, № 27, ст. 5188),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 а также их обособленными подразделениями (при наличии).</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4. ИКГ присваивается Министерством финансов Российской Федерации:</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банкам - в день включения банка в перечень банков на основании сведений, полученных от Центрального банка Российской Федерации в соответствии с частью 1.2 статьи 45 Федерального закона;</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государственной корпорации развития "ВЭБ.РФ" и Евразийскому банку развития - в день получения сведений от Центрального банка Российской Федерации;</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региональным гарантийным организациям - в день включения такой организации в перечень региональных гарантийных организаций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соответствии с частью 1.7 статьи 45 Федерального закона.</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ИКГ присваивается обособленным подразделениям банков, государственной корпорации развития "ВЭБ.РФ", Евразийского банка развития, региональных гарантийных организаций (при наличии) (далее при совместном упоминании - обособленные подразделения гаранта):</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по обособленным подразделениям гаранта, созданным на дату присвоения гаранту ИКГ, - одновременно с присвоением ИКГ гаранту;</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по обособленным подразделениям гаранта, созданным после присвоения гаранту ИКГ, - на основании сведений, полученных от Центрального банка Российской Федерации, о присвоении банковского идентификационного кода обособленному подразделению гаранта или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с даты их получения.</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5. ИКГ, присвоенный гаранту (обособленному подразделению гаранта), не может быть повторно присвоен другому гаранту (обособленному подразделению гаранта).</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6. При присвоении гаранту (обособленному подразделению гаранта) ИКГ Министерством финансов Российской Федерации создается учетная карточка гаранта (обособленного подразделения гаранта), которая содержит следующие сведения по гаранту (обособленному подразделению гаранта):</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lastRenderedPageBreak/>
        <w:t>ИКГ;</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идентификационный номер налогоплательщика гаранта;</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наименование гаранта (полное и сокращенное (при наличии) в соответствии со сведениями Единого государственного реестра юридических лиц, Единого государственного реестра налогоплательщиков);</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наименование обособленного подразделения гаранта (для обособленного подразделения гаранта) в соответствии со сведениями Единого государственного реестра юридических лиц, Единого государственного реестра налогоплательщиков);</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регистрационный номер гаранта в соответствии со сведениями, получаемыми Министерством финансов Российской Федерации от Центрального банка Российской Федерации (при наличии);</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дата присвоения ИКГ;</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дата(ы) исключения банка из перечня банков и повторного включения в перечень банков (при наличии);</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дата(ы) исключения региональной гарантийной организации из перечня региональных гарантийных организаций и повторного включения в указанный перечень (при наличии);</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информация о ликвидации (реорганизации) гаранта (обособленного подразделения гаранта) (при наличии);</w:t>
      </w:r>
    </w:p>
    <w:p w:rsid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дата(ы) признания ИКГ временно недействительными или недействительными (при наличии).</w:t>
      </w:r>
    </w:p>
    <w:p w:rsidR="00F4558C" w:rsidRPr="00F4558C" w:rsidRDefault="00F4558C"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7. Сведения учетной карточки гаранта (обособленного подразделения гаранта) изменяются на основании сведений, получаемых Министерством финансов Российской Федерации от Центрального банка Российской Федерации,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а также сведений Единого государственного реестра юридических лиц, Единого государственного реестра налогоплательщиков.</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IV. Применение ИКГ</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8. ИКГ, присвоенный гаранту (обособленному подразделению гаранта), применяется при ведении реестра независимых гарантий и при регистрации гаранта (обособленного подразделения гаранта), а также для идентификации гаранта и обособленных подразделений гаранта, имеющих право действовать от имени гаранта, в федеральной информационной системе Федерального казначейства, используемой для ведения реестра независимых гарантий.</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9. ИКГ в части кода гаранта, входящего в его структуру, указывается при формировании уникального номера реестровой записи в реестре независимых гарантий.</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10. Для применения ИКГ Министерство финансов Российской Федерации передает в Федеральное казначейство ИКГ и учетные карточки гарантов (обособленных подразделений гарантов) в течение одного рабочего дня с момента присвоения (изменения) ИКГ и изменения сведений учетных карточек гарантов в соответствии с соглашением об информационном взаимодействии, заключенным между Министерством финансов Российской Федерации и Федеральным казначейством.</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color w:val="22272F"/>
          <w:sz w:val="23"/>
          <w:szCs w:val="23"/>
          <w:lang w:eastAsia="ru-RU"/>
        </w:rPr>
        <w:lastRenderedPageBreak/>
        <w:t>11. Сведения об ИКГ, присвоенных гарантам, являются открытыми и размещаются Министерством финансов Российской Федерации на </w:t>
      </w:r>
      <w:r w:rsidRPr="006F1E5E">
        <w:rPr>
          <w:rFonts w:ascii="Times New Roman" w:eastAsia="Times New Roman" w:hAnsi="Times New Roman" w:cs="Times New Roman"/>
          <w:sz w:val="23"/>
          <w:szCs w:val="23"/>
          <w:lang w:eastAsia="ru-RU"/>
        </w:rPr>
        <w:t>едином портале</w:t>
      </w:r>
      <w:r w:rsidRPr="00F4558C">
        <w:rPr>
          <w:rFonts w:ascii="Times New Roman" w:eastAsia="Times New Roman" w:hAnsi="Times New Roman" w:cs="Times New Roman"/>
          <w:sz w:val="23"/>
          <w:szCs w:val="23"/>
          <w:lang w:eastAsia="ru-RU"/>
        </w:rPr>
        <w:t> бюджетной системы Российской Федерации в информационно-телекоммуникационной сети "Интернет", в том числе в форме открытых данных.</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V. Изменение ИКГ</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12. ИКГ подлежит изменению в случаях:</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а) изменения структуры ИКГ, установленной настоящим Порядком;</w:t>
      </w:r>
    </w:p>
    <w:p w:rsidR="006F1E5E" w:rsidRPr="006F1E5E" w:rsidRDefault="00F4558C"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 xml:space="preserve">б) </w:t>
      </w:r>
      <w:r w:rsidR="006F1E5E" w:rsidRPr="006F1E5E">
        <w:rPr>
          <w:rFonts w:ascii="Times New Roman" w:eastAsia="Times New Roman" w:hAnsi="Times New Roman" w:cs="Times New Roman"/>
          <w:color w:val="22272F"/>
          <w:sz w:val="23"/>
          <w:szCs w:val="23"/>
          <w:lang w:eastAsia="ru-RU"/>
        </w:rPr>
        <w:t>изменения банковского идентификационного кода, присвоенного гаранту (обособленному подразделению гаранта) (для организаций, предусмотренных абзацем вторым подпункта "в" пункта 2 настоящего Порядка).</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ИКГ изменяется Министерством финансов Российской Федерации по основаниям, определенным в подпункте "б" настоящего пункта, на основании сведений, получаемых Министерством финансов Российской Федерации от Центрального банка Российской Федерации.</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13. ИКГ признается временно недействительным в случае исключения банка из перечня банков, региональных гарантийных организаций из перечня региональных гарантийных организаций. В случае повторного включения гаранта в перечень ИКГ гаранта (обособленного подразделения гаранта) сохраняется.</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14. ИКГ признается недействительным в случае изменения его структуры, установленной пунктом 2 настоящего Порядка, а также в случае прекращения деятельности гаранта (обособленного подразделения гаранта) при ликвидации гаранта (обособленного подразделения гаранта) или в результате реорганизации гаранта (обособленного подразделения гаранта).</w:t>
      </w:r>
    </w:p>
    <w:p w:rsidR="006F1E5E" w:rsidRPr="006F1E5E" w:rsidRDefault="006F1E5E"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15. ИКГ, признанный временно недействительным или недействительным, не может быть присвоен другому гаранту (обособленному подразделению гаранта).</w:t>
      </w:r>
    </w:p>
    <w:p w:rsidR="00F4558C" w:rsidRPr="00F4558C" w:rsidRDefault="006F1E5E"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16. ИКГ, присвоенный гаранту, признанный временно недействительным или недействительным, и дата признания его временно недействительным или недействительным размещаются Министерством финансов Российской Федерации на едином портале</w:t>
      </w:r>
      <w:r>
        <w:rPr>
          <w:rFonts w:ascii="Times New Roman" w:eastAsia="Times New Roman" w:hAnsi="Times New Roman" w:cs="Times New Roman"/>
          <w:color w:val="22272F"/>
          <w:sz w:val="23"/>
          <w:szCs w:val="23"/>
          <w:lang w:eastAsia="ru-RU"/>
        </w:rPr>
        <w:t xml:space="preserve"> </w:t>
      </w:r>
      <w:r w:rsidR="00F4558C" w:rsidRPr="00F4558C">
        <w:rPr>
          <w:rFonts w:ascii="Times New Roman" w:eastAsia="Times New Roman" w:hAnsi="Times New Roman" w:cs="Times New Roman"/>
          <w:color w:val="22272F"/>
          <w:sz w:val="23"/>
          <w:szCs w:val="23"/>
          <w:lang w:eastAsia="ru-RU"/>
        </w:rPr>
        <w:t>бюджетной системы Российской Федерации в информационно-телекоммуникационной сети "Интернет", в том числе в форме открытых данных.</w:t>
      </w:r>
    </w:p>
    <w:p w:rsidR="00F4558C" w:rsidRPr="00F4558C" w:rsidRDefault="00F4558C" w:rsidP="00F4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F4558C">
        <w:rPr>
          <w:rFonts w:ascii="Courier New" w:eastAsia="Times New Roman" w:hAnsi="Courier New" w:cs="Courier New"/>
          <w:color w:val="22272F"/>
          <w:sz w:val="20"/>
          <w:szCs w:val="20"/>
          <w:lang w:eastAsia="ru-RU"/>
        </w:rPr>
        <w:t>──────────────────────────────</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4558C">
        <w:rPr>
          <w:rFonts w:ascii="Times New Roman" w:eastAsia="Times New Roman" w:hAnsi="Times New Roman" w:cs="Times New Roman"/>
          <w:color w:val="22272F"/>
          <w:sz w:val="20"/>
          <w:szCs w:val="20"/>
          <w:lang w:eastAsia="ru-RU"/>
        </w:rPr>
        <w:t xml:space="preserve">1 </w:t>
      </w:r>
      <w:r w:rsidRPr="00F4558C">
        <w:rPr>
          <w:rFonts w:ascii="Times New Roman" w:eastAsia="Times New Roman" w:hAnsi="Times New Roman" w:cs="Times New Roman"/>
          <w:sz w:val="20"/>
          <w:szCs w:val="20"/>
          <w:lang w:eastAsia="ru-RU"/>
        </w:rPr>
        <w:t>С изменениями, внесенными </w:t>
      </w:r>
      <w:r w:rsidRPr="006F1E5E">
        <w:rPr>
          <w:rFonts w:ascii="Times New Roman" w:eastAsia="Times New Roman" w:hAnsi="Times New Roman" w:cs="Times New Roman"/>
          <w:sz w:val="20"/>
          <w:szCs w:val="20"/>
          <w:lang w:eastAsia="ru-RU"/>
        </w:rPr>
        <w:t>Указанием</w:t>
      </w:r>
      <w:r w:rsidRPr="00F4558C">
        <w:rPr>
          <w:rFonts w:ascii="Times New Roman" w:eastAsia="Times New Roman" w:hAnsi="Times New Roman" w:cs="Times New Roman"/>
          <w:sz w:val="20"/>
          <w:szCs w:val="20"/>
          <w:lang w:eastAsia="ru-RU"/>
        </w:rPr>
        <w:t xml:space="preserve"> Банка России от 25 марта 2021 г. </w:t>
      </w:r>
      <w:r w:rsidRPr="006F1E5E">
        <w:rPr>
          <w:rFonts w:ascii="Times New Roman" w:eastAsia="Times New Roman" w:hAnsi="Times New Roman" w:cs="Times New Roman"/>
          <w:sz w:val="20"/>
          <w:szCs w:val="20"/>
          <w:lang w:eastAsia="ru-RU"/>
        </w:rPr>
        <w:t>№</w:t>
      </w:r>
      <w:r w:rsidRPr="00F4558C">
        <w:rPr>
          <w:rFonts w:ascii="Times New Roman" w:eastAsia="Times New Roman" w:hAnsi="Times New Roman" w:cs="Times New Roman"/>
          <w:sz w:val="20"/>
          <w:szCs w:val="20"/>
          <w:lang w:eastAsia="ru-RU"/>
        </w:rPr>
        <w:t xml:space="preserve"> 5756-У (зарегистрировано Министерством юстиции Российской Федерации 26 мая 2021 г., регистрационный </w:t>
      </w:r>
      <w:r w:rsidRPr="006F1E5E">
        <w:rPr>
          <w:rFonts w:ascii="Times New Roman" w:eastAsia="Times New Roman" w:hAnsi="Times New Roman" w:cs="Times New Roman"/>
          <w:sz w:val="20"/>
          <w:szCs w:val="20"/>
          <w:lang w:eastAsia="ru-RU"/>
        </w:rPr>
        <w:t>№</w:t>
      </w:r>
      <w:r w:rsidRPr="00F4558C">
        <w:rPr>
          <w:rFonts w:ascii="Times New Roman" w:eastAsia="Times New Roman" w:hAnsi="Times New Roman" w:cs="Times New Roman"/>
          <w:sz w:val="20"/>
          <w:szCs w:val="20"/>
          <w:lang w:eastAsia="ru-RU"/>
        </w:rPr>
        <w:t> 63632).</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4558C">
        <w:rPr>
          <w:rFonts w:ascii="Times New Roman" w:eastAsia="Times New Roman" w:hAnsi="Times New Roman" w:cs="Times New Roman"/>
          <w:sz w:val="20"/>
          <w:szCs w:val="20"/>
          <w:lang w:eastAsia="ru-RU"/>
        </w:rPr>
        <w:t>2 </w:t>
      </w:r>
      <w:r w:rsidRPr="006F1E5E">
        <w:rPr>
          <w:rFonts w:ascii="Times New Roman" w:eastAsia="Times New Roman" w:hAnsi="Times New Roman" w:cs="Times New Roman"/>
          <w:sz w:val="20"/>
          <w:szCs w:val="20"/>
          <w:lang w:eastAsia="ru-RU"/>
        </w:rPr>
        <w:t>Пункт 1 части 1 статьи 45</w:t>
      </w:r>
      <w:r w:rsidRPr="00F4558C">
        <w:rPr>
          <w:rFonts w:ascii="Times New Roman" w:eastAsia="Times New Roman" w:hAnsi="Times New Roman" w:cs="Times New Roman"/>
          <w:sz w:val="20"/>
          <w:szCs w:val="20"/>
          <w:lang w:eastAsia="ru-RU"/>
        </w:rPr>
        <w:t xml:space="preserve"> Федерального закона (Собрание законодательства Российской Федерации, 2013, </w:t>
      </w:r>
      <w:r w:rsidRPr="006F1E5E">
        <w:rPr>
          <w:rFonts w:ascii="Times New Roman" w:eastAsia="Times New Roman" w:hAnsi="Times New Roman" w:cs="Times New Roman"/>
          <w:sz w:val="20"/>
          <w:szCs w:val="20"/>
          <w:lang w:eastAsia="ru-RU"/>
        </w:rPr>
        <w:t>№</w:t>
      </w:r>
      <w:r w:rsidRPr="00F4558C">
        <w:rPr>
          <w:rFonts w:ascii="Times New Roman" w:eastAsia="Times New Roman" w:hAnsi="Times New Roman" w:cs="Times New Roman"/>
          <w:sz w:val="20"/>
          <w:szCs w:val="20"/>
          <w:lang w:eastAsia="ru-RU"/>
        </w:rPr>
        <w:t xml:space="preserve"> 14, ст. 1652; 2021, </w:t>
      </w:r>
      <w:r w:rsidRPr="006F1E5E">
        <w:rPr>
          <w:rFonts w:ascii="Times New Roman" w:eastAsia="Times New Roman" w:hAnsi="Times New Roman" w:cs="Times New Roman"/>
          <w:sz w:val="20"/>
          <w:szCs w:val="20"/>
          <w:lang w:eastAsia="ru-RU"/>
        </w:rPr>
        <w:t>№</w:t>
      </w:r>
      <w:r w:rsidRPr="00F4558C">
        <w:rPr>
          <w:rFonts w:ascii="Times New Roman" w:eastAsia="Times New Roman" w:hAnsi="Times New Roman" w:cs="Times New Roman"/>
          <w:sz w:val="20"/>
          <w:szCs w:val="20"/>
          <w:lang w:eastAsia="ru-RU"/>
        </w:rPr>
        <w:t> 27, ст. 5188).</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4558C">
        <w:rPr>
          <w:rFonts w:ascii="Times New Roman" w:eastAsia="Times New Roman" w:hAnsi="Times New Roman" w:cs="Times New Roman"/>
          <w:sz w:val="20"/>
          <w:szCs w:val="20"/>
          <w:lang w:eastAsia="ru-RU"/>
        </w:rPr>
        <w:t>3 </w:t>
      </w:r>
      <w:r w:rsidRPr="006F1E5E">
        <w:rPr>
          <w:rFonts w:ascii="Times New Roman" w:eastAsia="Times New Roman" w:hAnsi="Times New Roman" w:cs="Times New Roman"/>
          <w:sz w:val="20"/>
          <w:szCs w:val="20"/>
          <w:lang w:eastAsia="ru-RU"/>
        </w:rPr>
        <w:t>Пункт 3 части 1 статьи 45</w:t>
      </w:r>
      <w:r w:rsidRPr="00F4558C">
        <w:rPr>
          <w:rFonts w:ascii="Times New Roman" w:eastAsia="Times New Roman" w:hAnsi="Times New Roman" w:cs="Times New Roman"/>
          <w:sz w:val="20"/>
          <w:szCs w:val="20"/>
          <w:lang w:eastAsia="ru-RU"/>
        </w:rPr>
        <w:t xml:space="preserve"> Федерального закона (Собрание законодательства Российской Федерации, 2013, </w:t>
      </w:r>
      <w:r w:rsidRPr="006F1E5E">
        <w:rPr>
          <w:rFonts w:ascii="Times New Roman" w:eastAsia="Times New Roman" w:hAnsi="Times New Roman" w:cs="Times New Roman"/>
          <w:sz w:val="20"/>
          <w:szCs w:val="20"/>
          <w:lang w:eastAsia="ru-RU"/>
        </w:rPr>
        <w:t>№</w:t>
      </w:r>
      <w:r w:rsidRPr="00F4558C">
        <w:rPr>
          <w:rFonts w:ascii="Times New Roman" w:eastAsia="Times New Roman" w:hAnsi="Times New Roman" w:cs="Times New Roman"/>
          <w:sz w:val="20"/>
          <w:szCs w:val="20"/>
          <w:lang w:eastAsia="ru-RU"/>
        </w:rPr>
        <w:t xml:space="preserve"> 14, ст. 1652; 2021, </w:t>
      </w:r>
      <w:r w:rsidRPr="006F1E5E">
        <w:rPr>
          <w:rFonts w:ascii="Times New Roman" w:eastAsia="Times New Roman" w:hAnsi="Times New Roman" w:cs="Times New Roman"/>
          <w:sz w:val="20"/>
          <w:szCs w:val="20"/>
          <w:lang w:eastAsia="ru-RU"/>
        </w:rPr>
        <w:t>№</w:t>
      </w:r>
      <w:r w:rsidRPr="00F4558C">
        <w:rPr>
          <w:rFonts w:ascii="Times New Roman" w:eastAsia="Times New Roman" w:hAnsi="Times New Roman" w:cs="Times New Roman"/>
          <w:sz w:val="20"/>
          <w:szCs w:val="20"/>
          <w:lang w:eastAsia="ru-RU"/>
        </w:rPr>
        <w:t> 27, ст. 5188).</w:t>
      </w:r>
    </w:p>
    <w:p w:rsidR="00F4558C" w:rsidRPr="00F4558C" w:rsidRDefault="00F4558C" w:rsidP="00F4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F4558C">
        <w:rPr>
          <w:rFonts w:ascii="Courier New" w:eastAsia="Times New Roman" w:hAnsi="Courier New" w:cs="Courier New"/>
          <w:sz w:val="20"/>
          <w:szCs w:val="20"/>
          <w:lang w:eastAsia="ru-RU"/>
        </w:rPr>
        <w:t>──────────────────────────────</w:t>
      </w:r>
    </w:p>
    <w:p w:rsidR="00F4558C" w:rsidRPr="00F4558C" w:rsidRDefault="00F4558C" w:rsidP="00F4558C">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6F1E5E">
        <w:rPr>
          <w:rFonts w:ascii="Times New Roman" w:eastAsia="Times New Roman" w:hAnsi="Times New Roman" w:cs="Times New Roman"/>
          <w:b/>
          <w:bCs/>
          <w:sz w:val="23"/>
          <w:szCs w:val="23"/>
          <w:lang w:eastAsia="ru-RU"/>
        </w:rPr>
        <w:lastRenderedPageBreak/>
        <w:t>Приложение</w:t>
      </w:r>
      <w:r w:rsidRPr="00F4558C">
        <w:rPr>
          <w:rFonts w:ascii="Times New Roman" w:eastAsia="Times New Roman" w:hAnsi="Times New Roman" w:cs="Times New Roman"/>
          <w:b/>
          <w:bCs/>
          <w:sz w:val="23"/>
          <w:szCs w:val="23"/>
          <w:lang w:eastAsia="ru-RU"/>
        </w:rPr>
        <w:br/>
      </w:r>
      <w:r w:rsidRPr="006F1E5E">
        <w:rPr>
          <w:rFonts w:ascii="Times New Roman" w:eastAsia="Times New Roman" w:hAnsi="Times New Roman" w:cs="Times New Roman"/>
          <w:b/>
          <w:bCs/>
          <w:sz w:val="23"/>
          <w:szCs w:val="23"/>
          <w:lang w:eastAsia="ru-RU"/>
        </w:rPr>
        <w:t>к Порядку присвоения, применения,</w:t>
      </w:r>
      <w:r w:rsidR="006F1E5E">
        <w:rPr>
          <w:rFonts w:ascii="Times New Roman" w:eastAsia="Times New Roman" w:hAnsi="Times New Roman" w:cs="Times New Roman"/>
          <w:b/>
          <w:bCs/>
          <w:sz w:val="23"/>
          <w:szCs w:val="23"/>
          <w:lang w:eastAsia="ru-RU"/>
        </w:rPr>
        <w:t xml:space="preserve"> </w:t>
      </w:r>
      <w:r w:rsidRPr="00F4558C">
        <w:rPr>
          <w:rFonts w:ascii="Times New Roman" w:eastAsia="Times New Roman" w:hAnsi="Times New Roman" w:cs="Times New Roman"/>
          <w:b/>
          <w:bCs/>
          <w:sz w:val="23"/>
          <w:szCs w:val="23"/>
          <w:lang w:eastAsia="ru-RU"/>
        </w:rPr>
        <w:br/>
      </w:r>
      <w:r w:rsidRPr="006F1E5E">
        <w:rPr>
          <w:rFonts w:ascii="Times New Roman" w:eastAsia="Times New Roman" w:hAnsi="Times New Roman" w:cs="Times New Roman"/>
          <w:b/>
          <w:bCs/>
          <w:sz w:val="23"/>
          <w:szCs w:val="23"/>
          <w:lang w:eastAsia="ru-RU"/>
        </w:rPr>
        <w:t>а также изменения идентификационных</w:t>
      </w:r>
      <w:r w:rsidRPr="00F4558C">
        <w:rPr>
          <w:rFonts w:ascii="Times New Roman" w:eastAsia="Times New Roman" w:hAnsi="Times New Roman" w:cs="Times New Roman"/>
          <w:b/>
          <w:bCs/>
          <w:sz w:val="23"/>
          <w:szCs w:val="23"/>
          <w:lang w:eastAsia="ru-RU"/>
        </w:rPr>
        <w:br/>
      </w:r>
      <w:r w:rsidRPr="006F1E5E">
        <w:rPr>
          <w:rFonts w:ascii="Times New Roman" w:eastAsia="Times New Roman" w:hAnsi="Times New Roman" w:cs="Times New Roman"/>
          <w:b/>
          <w:bCs/>
          <w:sz w:val="23"/>
          <w:szCs w:val="23"/>
          <w:lang w:eastAsia="ru-RU"/>
        </w:rPr>
        <w:t xml:space="preserve">кодов </w:t>
      </w:r>
      <w:proofErr w:type="gramStart"/>
      <w:r w:rsidRPr="006F1E5E">
        <w:rPr>
          <w:rFonts w:ascii="Times New Roman" w:eastAsia="Times New Roman" w:hAnsi="Times New Roman" w:cs="Times New Roman"/>
          <w:b/>
          <w:bCs/>
          <w:sz w:val="23"/>
          <w:szCs w:val="23"/>
          <w:lang w:eastAsia="ru-RU"/>
        </w:rPr>
        <w:t>гарантов,</w:t>
      </w:r>
      <w:r w:rsidRPr="00F4558C">
        <w:rPr>
          <w:rFonts w:ascii="Times New Roman" w:eastAsia="Times New Roman" w:hAnsi="Times New Roman" w:cs="Times New Roman"/>
          <w:b/>
          <w:bCs/>
          <w:sz w:val="23"/>
          <w:szCs w:val="23"/>
          <w:lang w:eastAsia="ru-RU"/>
        </w:rPr>
        <w:br/>
      </w:r>
      <w:r w:rsidRPr="006F1E5E">
        <w:rPr>
          <w:rFonts w:ascii="Times New Roman" w:eastAsia="Times New Roman" w:hAnsi="Times New Roman" w:cs="Times New Roman"/>
          <w:b/>
          <w:bCs/>
          <w:sz w:val="23"/>
          <w:szCs w:val="23"/>
          <w:lang w:eastAsia="ru-RU"/>
        </w:rPr>
        <w:t>утвержденному</w:t>
      </w:r>
      <w:proofErr w:type="gramEnd"/>
      <w:r w:rsidRPr="006F1E5E">
        <w:rPr>
          <w:rFonts w:ascii="Times New Roman" w:eastAsia="Times New Roman" w:hAnsi="Times New Roman" w:cs="Times New Roman"/>
          <w:b/>
          <w:bCs/>
          <w:sz w:val="23"/>
          <w:szCs w:val="23"/>
          <w:lang w:eastAsia="ru-RU"/>
        </w:rPr>
        <w:t> приказом Министерства</w:t>
      </w:r>
      <w:r w:rsidRPr="00F4558C">
        <w:rPr>
          <w:rFonts w:ascii="Times New Roman" w:eastAsia="Times New Roman" w:hAnsi="Times New Roman" w:cs="Times New Roman"/>
          <w:b/>
          <w:bCs/>
          <w:sz w:val="23"/>
          <w:szCs w:val="23"/>
          <w:lang w:eastAsia="ru-RU"/>
        </w:rPr>
        <w:br/>
      </w:r>
      <w:r w:rsidRPr="006F1E5E">
        <w:rPr>
          <w:rFonts w:ascii="Times New Roman" w:eastAsia="Times New Roman" w:hAnsi="Times New Roman" w:cs="Times New Roman"/>
          <w:b/>
          <w:bCs/>
          <w:sz w:val="23"/>
          <w:szCs w:val="23"/>
          <w:lang w:eastAsia="ru-RU"/>
        </w:rPr>
        <w:t>финансов Российской Федерации</w:t>
      </w:r>
      <w:r w:rsidRPr="00F4558C">
        <w:rPr>
          <w:rFonts w:ascii="Times New Roman" w:eastAsia="Times New Roman" w:hAnsi="Times New Roman" w:cs="Times New Roman"/>
          <w:b/>
          <w:bCs/>
          <w:sz w:val="23"/>
          <w:szCs w:val="23"/>
          <w:lang w:eastAsia="ru-RU"/>
        </w:rPr>
        <w:br/>
      </w:r>
      <w:r w:rsidRPr="006F1E5E">
        <w:rPr>
          <w:rFonts w:ascii="Times New Roman" w:eastAsia="Times New Roman" w:hAnsi="Times New Roman" w:cs="Times New Roman"/>
          <w:b/>
          <w:bCs/>
          <w:sz w:val="23"/>
          <w:szCs w:val="23"/>
          <w:lang w:eastAsia="ru-RU"/>
        </w:rPr>
        <w:t>от 24.12.2021 г. № 227н</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Порядок</w:t>
      </w:r>
      <w:r w:rsidRPr="00F4558C">
        <w:rPr>
          <w:rFonts w:ascii="Times New Roman" w:eastAsia="Times New Roman" w:hAnsi="Times New Roman" w:cs="Times New Roman"/>
          <w:color w:val="22272F"/>
          <w:sz w:val="32"/>
          <w:szCs w:val="32"/>
          <w:lang w:eastAsia="ru-RU"/>
        </w:rPr>
        <w:br/>
        <w:t>расчета контрольного числа идентификационного кода гаранта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Контрольное число идентификационного кода гаранта (далее - ИКГ) рассчитывается в следующем порядке:</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1. В случае наличия в первых трех разрядах ИКГ латинских букв каждая из них заменяется числом, значение которого соответствует:</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в случае если порядковый номер буквы в латинском алфавите больше или равен 10 - остатку от деления порядкового номера буквы в латинском алфавите на 10;</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в случае если порядковый номер в латинском алфавите меньше 10 - порядковому номеру.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2. Значения 1-13 разрядов ИКГ, измененных в соответствии с </w:t>
      </w:r>
      <w:r w:rsidRPr="006F1E5E">
        <w:rPr>
          <w:rFonts w:ascii="Times New Roman" w:eastAsia="Times New Roman" w:hAnsi="Times New Roman" w:cs="Times New Roman"/>
          <w:sz w:val="23"/>
          <w:szCs w:val="23"/>
          <w:lang w:eastAsia="ru-RU"/>
        </w:rPr>
        <w:t>пунктом 1</w:t>
      </w:r>
      <w:r w:rsidRPr="00F4558C">
        <w:rPr>
          <w:rFonts w:ascii="Times New Roman" w:eastAsia="Times New Roman" w:hAnsi="Times New Roman" w:cs="Times New Roman"/>
          <w:sz w:val="23"/>
          <w:szCs w:val="23"/>
          <w:lang w:eastAsia="ru-RU"/>
        </w:rPr>
        <w:t xml:space="preserve"> настоящего </w:t>
      </w:r>
      <w:r w:rsidRPr="00F4558C">
        <w:rPr>
          <w:rFonts w:ascii="Times New Roman" w:eastAsia="Times New Roman" w:hAnsi="Times New Roman" w:cs="Times New Roman"/>
          <w:color w:val="22272F"/>
          <w:sz w:val="23"/>
          <w:szCs w:val="23"/>
          <w:lang w:eastAsia="ru-RU"/>
        </w:rPr>
        <w:t>порядка, умножаются на следующие соответствующие коэффициенты:</w:t>
      </w:r>
    </w:p>
    <w:tbl>
      <w:tblPr>
        <w:tblW w:w="10057" w:type="dxa"/>
        <w:tblCellMar>
          <w:top w:w="15" w:type="dxa"/>
          <w:left w:w="15" w:type="dxa"/>
          <w:bottom w:w="15" w:type="dxa"/>
          <w:right w:w="15" w:type="dxa"/>
        </w:tblCellMar>
        <w:tblLook w:val="04A0" w:firstRow="1" w:lastRow="0" w:firstColumn="1" w:lastColumn="0" w:noHBand="0" w:noVBand="1"/>
      </w:tblPr>
      <w:tblGrid>
        <w:gridCol w:w="2162"/>
        <w:gridCol w:w="694"/>
        <w:gridCol w:w="552"/>
        <w:gridCol w:w="552"/>
        <w:gridCol w:w="553"/>
        <w:gridCol w:w="553"/>
        <w:gridCol w:w="553"/>
        <w:gridCol w:w="553"/>
        <w:gridCol w:w="553"/>
        <w:gridCol w:w="553"/>
        <w:gridCol w:w="553"/>
        <w:gridCol w:w="553"/>
        <w:gridCol w:w="553"/>
        <w:gridCol w:w="553"/>
        <w:gridCol w:w="567"/>
      </w:tblGrid>
      <w:tr w:rsidR="00F4558C" w:rsidRPr="00F4558C" w:rsidTr="00F4558C">
        <w:tc>
          <w:tcPr>
            <w:tcW w:w="2162"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Разряд ИКГ</w:t>
            </w:r>
          </w:p>
        </w:tc>
        <w:tc>
          <w:tcPr>
            <w:tcW w:w="694"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2</w:t>
            </w:r>
          </w:p>
        </w:tc>
        <w:tc>
          <w:tcPr>
            <w:tcW w:w="552"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3</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4</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5</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6</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7</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8</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9</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10</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11</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12</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13</w:t>
            </w:r>
          </w:p>
        </w:tc>
        <w:tc>
          <w:tcPr>
            <w:tcW w:w="567"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14</w:t>
            </w:r>
          </w:p>
        </w:tc>
      </w:tr>
      <w:tr w:rsidR="00F4558C" w:rsidRPr="00F4558C" w:rsidTr="00F4558C">
        <w:tc>
          <w:tcPr>
            <w:tcW w:w="2162"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Коэффициент</w:t>
            </w:r>
          </w:p>
        </w:tc>
        <w:tc>
          <w:tcPr>
            <w:tcW w:w="694"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w:t>
            </w:r>
          </w:p>
        </w:tc>
        <w:tc>
          <w:tcPr>
            <w:tcW w:w="552"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2</w:t>
            </w:r>
          </w:p>
        </w:tc>
        <w:tc>
          <w:tcPr>
            <w:tcW w:w="552"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2</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2</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2</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2</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2</w:t>
            </w:r>
          </w:p>
        </w:tc>
        <w:tc>
          <w:tcPr>
            <w:tcW w:w="553"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1</w:t>
            </w:r>
          </w:p>
        </w:tc>
        <w:tc>
          <w:tcPr>
            <w:tcW w:w="567" w:type="dxa"/>
            <w:tcBorders>
              <w:top w:val="single" w:sz="6" w:space="0" w:color="000000"/>
              <w:left w:val="single" w:sz="6" w:space="0" w:color="000000"/>
              <w:bottom w:val="single" w:sz="6" w:space="0" w:color="000000"/>
              <w:right w:val="single" w:sz="6" w:space="0" w:color="000000"/>
            </w:tcBorders>
            <w:hideMark/>
          </w:tcPr>
          <w:p w:rsidR="00F4558C" w:rsidRPr="00F4558C" w:rsidRDefault="00F4558C" w:rsidP="00F4558C">
            <w:pPr>
              <w:spacing w:after="0" w:line="240" w:lineRule="auto"/>
              <w:jc w:val="center"/>
              <w:rPr>
                <w:rFonts w:ascii="Times New Roman" w:eastAsia="Times New Roman" w:hAnsi="Times New Roman" w:cs="Times New Roman"/>
                <w:sz w:val="24"/>
                <w:szCs w:val="24"/>
                <w:lang w:eastAsia="ru-RU"/>
              </w:rPr>
            </w:pPr>
            <w:r w:rsidRPr="00F4558C">
              <w:rPr>
                <w:rFonts w:ascii="Times New Roman" w:eastAsia="Times New Roman" w:hAnsi="Times New Roman" w:cs="Times New Roman"/>
                <w:sz w:val="24"/>
                <w:szCs w:val="24"/>
                <w:lang w:eastAsia="ru-RU"/>
              </w:rPr>
              <w:t>2</w:t>
            </w:r>
          </w:p>
        </w:tc>
      </w:tr>
    </w:tbl>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 </w:t>
      </w:r>
    </w:p>
    <w:p w:rsidR="006F1E5E" w:rsidRPr="006F1E5E" w:rsidRDefault="00F4558C" w:rsidP="006F1E5E">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 xml:space="preserve">3. В случае если произведение значение разряда ИКГ, рассчитанного в соответствии </w:t>
      </w:r>
      <w:r w:rsidR="006F1E5E" w:rsidRPr="006F1E5E">
        <w:rPr>
          <w:rFonts w:ascii="Times New Roman" w:eastAsia="Times New Roman" w:hAnsi="Times New Roman" w:cs="Times New Roman"/>
          <w:color w:val="22272F"/>
          <w:sz w:val="23"/>
          <w:szCs w:val="23"/>
          <w:lang w:eastAsia="ru-RU"/>
        </w:rPr>
        <w:t>с пунктом 2 настоящего порядка, больше 9, то из указанного значения разряда ИКГ вычитается 9. В остальных случаях значение разряда ИКГ, рассчитанного в соответствии с пунктом 2 настоящего порядка, не изменяется. Значения 1-13 разрядов, рассчитанные в соответствии с пунктом 3 настоящего порядка, суммируются и формируют контрольную сумму.</w:t>
      </w:r>
    </w:p>
    <w:p w:rsidR="00F4558C" w:rsidRPr="00F4558C" w:rsidRDefault="006F1E5E"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6F1E5E">
        <w:rPr>
          <w:rFonts w:ascii="Times New Roman" w:eastAsia="Times New Roman" w:hAnsi="Times New Roman" w:cs="Times New Roman"/>
          <w:color w:val="22272F"/>
          <w:sz w:val="23"/>
          <w:szCs w:val="23"/>
          <w:lang w:eastAsia="ru-RU"/>
        </w:rPr>
        <w:t>4. Значение контрольного числа соответствует наименьшему неотрицательному целому числу, включение которого в контрольную сумму по результатам выполнения действий, предусмотренных пунктами 2 и 3 настоящего</w:t>
      </w:r>
      <w:r>
        <w:rPr>
          <w:rFonts w:ascii="Times New Roman" w:eastAsia="Times New Roman" w:hAnsi="Times New Roman" w:cs="Times New Roman"/>
          <w:color w:val="22272F"/>
          <w:sz w:val="23"/>
          <w:szCs w:val="23"/>
          <w:lang w:eastAsia="ru-RU"/>
        </w:rPr>
        <w:t xml:space="preserve"> </w:t>
      </w:r>
      <w:r w:rsidR="00F4558C" w:rsidRPr="00F4558C">
        <w:rPr>
          <w:rFonts w:ascii="Times New Roman" w:eastAsia="Times New Roman" w:hAnsi="Times New Roman" w:cs="Times New Roman"/>
          <w:color w:val="22272F"/>
          <w:sz w:val="23"/>
          <w:szCs w:val="23"/>
          <w:lang w:eastAsia="ru-RU"/>
        </w:rPr>
        <w:t>порядка, обеспечивает нулевой остаток от ее деления на 10.</w:t>
      </w:r>
    </w:p>
    <w:p w:rsidR="00F4558C" w:rsidRPr="00F4558C" w:rsidRDefault="00F4558C" w:rsidP="00F4558C">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b/>
          <w:bCs/>
          <w:color w:val="22272F"/>
          <w:sz w:val="23"/>
          <w:szCs w:val="23"/>
          <w:lang w:eastAsia="ru-RU"/>
        </w:rPr>
        <w:t>УТВЕРЖДЕН</w:t>
      </w:r>
      <w:r w:rsidRPr="00F4558C">
        <w:rPr>
          <w:rFonts w:ascii="Times New Roman" w:eastAsia="Times New Roman" w:hAnsi="Times New Roman" w:cs="Times New Roman"/>
          <w:b/>
          <w:bCs/>
          <w:color w:val="22272F"/>
          <w:sz w:val="23"/>
          <w:szCs w:val="23"/>
          <w:lang w:eastAsia="ru-RU"/>
        </w:rPr>
        <w:br/>
      </w:r>
      <w:r w:rsidRPr="006F1E5E">
        <w:rPr>
          <w:rFonts w:ascii="Times New Roman" w:eastAsia="Times New Roman" w:hAnsi="Times New Roman" w:cs="Times New Roman"/>
          <w:b/>
          <w:bCs/>
          <w:sz w:val="23"/>
          <w:szCs w:val="23"/>
          <w:lang w:eastAsia="ru-RU"/>
        </w:rPr>
        <w:t>приказом</w:t>
      </w:r>
      <w:r w:rsidRPr="00F4558C">
        <w:rPr>
          <w:rFonts w:ascii="Times New Roman" w:eastAsia="Times New Roman" w:hAnsi="Times New Roman" w:cs="Times New Roman"/>
          <w:b/>
          <w:bCs/>
          <w:color w:val="22272F"/>
          <w:sz w:val="23"/>
          <w:szCs w:val="23"/>
          <w:lang w:eastAsia="ru-RU"/>
        </w:rPr>
        <w:t> Министерства финансов</w:t>
      </w:r>
      <w:r w:rsidRPr="00F4558C">
        <w:rPr>
          <w:rFonts w:ascii="Times New Roman" w:eastAsia="Times New Roman" w:hAnsi="Times New Roman" w:cs="Times New Roman"/>
          <w:b/>
          <w:bCs/>
          <w:color w:val="22272F"/>
          <w:sz w:val="23"/>
          <w:szCs w:val="23"/>
          <w:lang w:eastAsia="ru-RU"/>
        </w:rPr>
        <w:br/>
        <w:t>Российской Федерации</w:t>
      </w:r>
      <w:r w:rsidRPr="00F4558C">
        <w:rPr>
          <w:rFonts w:ascii="Times New Roman" w:eastAsia="Times New Roman" w:hAnsi="Times New Roman" w:cs="Times New Roman"/>
          <w:b/>
          <w:bCs/>
          <w:color w:val="22272F"/>
          <w:sz w:val="23"/>
          <w:szCs w:val="23"/>
          <w:lang w:eastAsia="ru-RU"/>
        </w:rPr>
        <w:br/>
        <w:t xml:space="preserve">от 24.12.2021 г. </w:t>
      </w:r>
      <w:r>
        <w:rPr>
          <w:rFonts w:ascii="Times New Roman" w:eastAsia="Times New Roman" w:hAnsi="Times New Roman" w:cs="Times New Roman"/>
          <w:b/>
          <w:bCs/>
          <w:color w:val="22272F"/>
          <w:sz w:val="23"/>
          <w:szCs w:val="23"/>
          <w:lang w:eastAsia="ru-RU"/>
        </w:rPr>
        <w:t>№</w:t>
      </w:r>
      <w:r w:rsidRPr="00F4558C">
        <w:rPr>
          <w:rFonts w:ascii="Times New Roman" w:eastAsia="Times New Roman" w:hAnsi="Times New Roman" w:cs="Times New Roman"/>
          <w:b/>
          <w:bCs/>
          <w:color w:val="22272F"/>
          <w:sz w:val="23"/>
          <w:szCs w:val="23"/>
          <w:lang w:eastAsia="ru-RU"/>
        </w:rPr>
        <w:t> 227н</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Порядок</w:t>
      </w:r>
      <w:r w:rsidRPr="00F4558C">
        <w:rPr>
          <w:rFonts w:ascii="Times New Roman" w:eastAsia="Times New Roman" w:hAnsi="Times New Roman" w:cs="Times New Roman"/>
          <w:color w:val="22272F"/>
          <w:sz w:val="32"/>
          <w:szCs w:val="32"/>
          <w:lang w:eastAsia="ru-RU"/>
        </w:rPr>
        <w:br/>
        <w:t>присвоения, применения, а также изменения идентификационных кодов заказчиков</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I. Общие положения</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lastRenderedPageBreak/>
        <w:t>1. Настоящий Порядок присвоения, применения, а также изменения идентификационных кодов заказчиков (далее - ИКУ) определяет правила присвоения, применения, а также изменения ИКУ в целях ведения реестра независимых гарантий, реестра контрактов, заключенных заказчиками, и реестра контрактов, содержащего сведения, составляющие государственную тайну.</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II. Структура ИКУ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2. Структура ИКУ представляет собой двадцатизначный код, в котором:</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а) 1 разряд - код формы собственности учредителя и собственника имущества заказчика, принимающий следующие значения:</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1 - федеральная собственность;</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2 - собственность субъекта Российской Федерации;</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3 - муниципальная собственность;</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4 - иная;</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б) 2, 3, 4, 5, 6, 7, 8, 9, 10, 11 разряды - идентификационный номер налогоплательщика;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в) 12, 13, 14, 15, 16, 17, 18, 19, 20 разряды - код причины постановки на учет в налоговом органе (при формировании ИКУ обособленного подразделения заказчика применяется код причины постановки на учет в налоговом органе заказчика по месту нахождения обособленного подразделения заказчика).</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III. Присвоение ИКУ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3. ИКУ присваивается заказчику: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Федеральным казначейством по итогам прохождения заказчиком процедуры регистрации в федеральных информационных системах Федерального казначейства, используемых для ведения реестров контрактов, заключенных заказчиками, или реестра независимых гарантий, в день прохождения процедуры регистрации;</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Федеральным казначейством, уполномоченным органом исполнительной власти субъекта Российской Федерации, уполномоченным органом местного самоуправления, осуществляющим ведение реестра контрактов, содержащего сведения, составляющие государственную тайну (далее - уполномоченный орган), при первоначальном направлении заказчиком информации и документов для включения в реестр контрактов, содержащий сведения, составляющие государственную тайну, в день получения информации и документов заказчика.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4. ИКУ присваивается также обособленным подразделениям заказчиков, которым присвоен ИКУ.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ИКУ присваивается обособленному подразделению заказчика: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Федеральным казначейством по итогам прохождения обособленным подразделением заказчика процедуры регистрации в федеральных информационных системах Федерального казначейства, используемых для ведения реестров контрактов, заключенных заказчиками, или реестра независимых гарантий, в день прохождения процедуры регистрации;</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lastRenderedPageBreak/>
        <w:t>уполномоченным органом при первоначальном направлении обособленным подразделением заказчика информации и документов для включения в реестр контрактов, содержащий сведения, составляющие государственную тайну, в день получения информации и документов.</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5. ИКУ, присвоенный заказчику (обособленному подразделению заказчика), не может быть повторно присвоен другому заказчику (обособленному подразделению заказчика).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6. При присвоении заказчику (обособленному подразделению заказчика) ИКУ Федеральным казначейством, уполномоченным органом создается учетная карточка заказчика (обособленного подразделения заказчика).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Учетная карточка заказчика содержит следующие сведения:</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ИКУ и дата присвоения ИКУ;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наименование заказчика (полное и сокращенное (при наличии) в соответствии со сведениями Единого государственного реестра юридических лиц;</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color w:val="22272F"/>
          <w:sz w:val="23"/>
          <w:szCs w:val="23"/>
          <w:lang w:eastAsia="ru-RU"/>
        </w:rPr>
        <w:t xml:space="preserve">организационно-правовая форма заказчика и код организационно-правовой формы в </w:t>
      </w:r>
      <w:r w:rsidRPr="00F4558C">
        <w:rPr>
          <w:rFonts w:ascii="Times New Roman" w:eastAsia="Times New Roman" w:hAnsi="Times New Roman" w:cs="Times New Roman"/>
          <w:sz w:val="23"/>
          <w:szCs w:val="23"/>
          <w:lang w:eastAsia="ru-RU"/>
        </w:rPr>
        <w:t>соответствии с </w:t>
      </w:r>
      <w:r w:rsidRPr="006F1E5E">
        <w:rPr>
          <w:rFonts w:ascii="Times New Roman" w:eastAsia="Times New Roman" w:hAnsi="Times New Roman" w:cs="Times New Roman"/>
          <w:sz w:val="23"/>
          <w:szCs w:val="23"/>
          <w:lang w:eastAsia="ru-RU"/>
        </w:rPr>
        <w:t>Общероссийским классификатором</w:t>
      </w:r>
      <w:r w:rsidRPr="00F4558C">
        <w:rPr>
          <w:rFonts w:ascii="Times New Roman" w:eastAsia="Times New Roman" w:hAnsi="Times New Roman" w:cs="Times New Roman"/>
          <w:sz w:val="23"/>
          <w:szCs w:val="23"/>
          <w:lang w:eastAsia="ru-RU"/>
        </w:rPr>
        <w:t> организационно-правовых форм;</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идентификационный номер налогоплательщика заказчика в соответствии со свидетельством о постановке на учет юридического лица в налоговом органе;</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код причины постановки и дата постановки на учет заказчика в налоговом органе в соответствии со свидетельством о постановке на учет юридического лица в налоговом органе;</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основной государственный регистрационный номер заказчика;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сведения о правопреемстве (для заказчиков, созданных в результате реорганизации);</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форма собственности заказчика и код по </w:t>
      </w:r>
      <w:r w:rsidRPr="006F1E5E">
        <w:rPr>
          <w:rFonts w:ascii="Times New Roman" w:eastAsia="Times New Roman" w:hAnsi="Times New Roman" w:cs="Times New Roman"/>
          <w:sz w:val="23"/>
          <w:szCs w:val="23"/>
          <w:lang w:eastAsia="ru-RU"/>
        </w:rPr>
        <w:t>Общероссийскому классификатору</w:t>
      </w:r>
      <w:r w:rsidRPr="00F4558C">
        <w:rPr>
          <w:rFonts w:ascii="Times New Roman" w:eastAsia="Times New Roman" w:hAnsi="Times New Roman" w:cs="Times New Roman"/>
          <w:sz w:val="23"/>
          <w:szCs w:val="23"/>
          <w:lang w:eastAsia="ru-RU"/>
        </w:rPr>
        <w:t> форм собственности;</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место нахождения заказчика в соответствии со сведениями Единого государственного реестра юридических лиц;</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дата признания ИКУ заказчика недействительным (при наличии);</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ИКУ, присвоенный обособленному подразделению заказчика (при наличии), и дату присвоения;</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ИКУ, присвоенный обособленному подразделению заказчика и признанный недействительным, и дата признания ИКУ недействительным (при наличии).</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Учетная карточка обособленного подразделения заказчика содержит следующие сведения:</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ИКУ, присвоенный обособленному подразделению заказчика, и дата присвоения ИКУ;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наименование обособленного подразделения заказчика (полное и сокращенное (при наличии) в соответствии со сведениями Единого государственного реестра юридических лиц;</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lastRenderedPageBreak/>
        <w:t>идентификационный номер налогоплательщика заказчика в соответствии со свидетельством о постановке на учет юридического лица в налоговом органе;</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код причины постановки и дата постановки на учет заказчика в налоговом органе по месту нахождения обособленного подразделения заказчика;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место нахождения обособленного подразделения заказчика в соответствии со сведениями Единого государственного реестра юридических лиц;</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дата признания ИКУ обособленного подразделения заказчика недействительным (при наличии).</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7. Сведения учетной карточки заказчика (обособленного подразделения заказчика) изменяются на основании сведений, получаемых из Единого государственного реестра юридических лиц и (или) от заказчика (обособленного подразделения заказчика), в части, не противоречащей сведениям Единого государственного реестра юридических лиц.</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F4558C">
        <w:rPr>
          <w:rFonts w:ascii="Times New Roman" w:eastAsia="Times New Roman" w:hAnsi="Times New Roman" w:cs="Times New Roman"/>
          <w:color w:val="22272F"/>
          <w:sz w:val="32"/>
          <w:szCs w:val="32"/>
          <w:lang w:eastAsia="ru-RU"/>
        </w:rPr>
        <w:t>IV. Применение ИКУ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8. ИКУ, присвоенный заказчику, применяется при ведении реестра независимых гарантий, реестра контрактов, заключенных заказчиками, и реестра контрактов, содержащего сведения, составляющие государственную тайну.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9. ИКУ в части кода формы собственности учредителя и собственника имущества заказчика и идентификационного номера налогоплательщика указывается при формировании уникального номера реестровых записей в реестре независимых гарантий, реестре контрактов, заключенных заказчиками, и реестре контрактов, содержащем сведения, составляющие государственную тайну.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4558C">
        <w:rPr>
          <w:rFonts w:ascii="Times New Roman" w:eastAsia="Times New Roman" w:hAnsi="Times New Roman" w:cs="Times New Roman"/>
          <w:color w:val="22272F"/>
          <w:sz w:val="23"/>
          <w:szCs w:val="23"/>
          <w:lang w:eastAsia="ru-RU"/>
        </w:rPr>
        <w:t>10. ИКУ, присвоенный заказчику (обособленному подразделению заказчика), а также сведения учетной карточки заказчика (обособленного подразделения заказчика) применяются для идентификации заказчика (обособленного подразделения заказчика) и обособленных подразделений заказчика, имеющих право действовать от имени заказчика в федеральных информационных системах, используемых для ведения реестра независимых гарантий и реестра контрактов, заключенных заказчиками, а также при формировании информации, предусмотренной к включению в реестр независимых гарантий, реестр контрактов, заключаемых заказчиками, и реестр контрактов, содержащий сведения, составл</w:t>
      </w:r>
      <w:bookmarkStart w:id="0" w:name="_GoBack"/>
      <w:bookmarkEnd w:id="0"/>
      <w:r w:rsidRPr="00F4558C">
        <w:rPr>
          <w:rFonts w:ascii="Times New Roman" w:eastAsia="Times New Roman" w:hAnsi="Times New Roman" w:cs="Times New Roman"/>
          <w:color w:val="22272F"/>
          <w:sz w:val="23"/>
          <w:szCs w:val="23"/>
          <w:lang w:eastAsia="ru-RU"/>
        </w:rPr>
        <w:t>яющие государственную тайну.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11. Сведения об ИКУ, присвоенных заказчикам, в целях ведения реестра независимых гарантий и реестра контрактов, заключенных заказчиками, являются открытыми и размещаются Федеральным казначейством на </w:t>
      </w:r>
      <w:r w:rsidRPr="006F1E5E">
        <w:rPr>
          <w:rFonts w:ascii="Times New Roman" w:eastAsia="Times New Roman" w:hAnsi="Times New Roman" w:cs="Times New Roman"/>
          <w:sz w:val="23"/>
          <w:szCs w:val="23"/>
          <w:lang w:eastAsia="ru-RU"/>
        </w:rPr>
        <w:t>официальном сайте</w:t>
      </w:r>
      <w:r w:rsidRPr="00F4558C">
        <w:rPr>
          <w:rFonts w:ascii="Times New Roman" w:eastAsia="Times New Roman" w:hAnsi="Times New Roman" w:cs="Times New Roman"/>
          <w:sz w:val="23"/>
          <w:szCs w:val="23"/>
          <w:lang w:eastAsia="ru-RU"/>
        </w:rPr>
        <w:t> единой информационной системы в сфере закупок в информационно-телекоммуникационной сети "Интернет", в том числе в форме открытых данных.</w:t>
      </w:r>
    </w:p>
    <w:p w:rsidR="00F4558C" w:rsidRPr="00F4558C" w:rsidRDefault="00F4558C" w:rsidP="00F4558C">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F4558C">
        <w:rPr>
          <w:rFonts w:ascii="Times New Roman" w:eastAsia="Times New Roman" w:hAnsi="Times New Roman" w:cs="Times New Roman"/>
          <w:sz w:val="32"/>
          <w:szCs w:val="32"/>
          <w:lang w:eastAsia="ru-RU"/>
        </w:rPr>
        <w:t>V. Изменение ИКУ</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12. ИКУ, присвоенный заказчику (обособленному подразделению заказчика), подлежит изменению в случае:</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а) изменения структуры ИКУ, установленной настоящим Порядком;</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lastRenderedPageBreak/>
        <w:t>б) изменения кода причины постановки и даты постановки на учет заказчика (для обособленного подразделения заказчика - изменения кода причины постановки и даты постановки на учет заказчика по месту нахождения обособленного подразделения заказчика) в налоговом органе.</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13. ИКУ, присвоенный заказчику (обособленному подразделению заказчика), признается недействительным в случае:</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а) изменения его структуры, установленной </w:t>
      </w:r>
      <w:r w:rsidRPr="006F1E5E">
        <w:rPr>
          <w:rFonts w:ascii="Times New Roman" w:eastAsia="Times New Roman" w:hAnsi="Times New Roman" w:cs="Times New Roman"/>
          <w:sz w:val="23"/>
          <w:szCs w:val="23"/>
          <w:lang w:eastAsia="ru-RU"/>
        </w:rPr>
        <w:t>пунктом 2</w:t>
      </w:r>
      <w:r w:rsidRPr="00F4558C">
        <w:rPr>
          <w:rFonts w:ascii="Times New Roman" w:eastAsia="Times New Roman" w:hAnsi="Times New Roman" w:cs="Times New Roman"/>
          <w:sz w:val="23"/>
          <w:szCs w:val="23"/>
          <w:lang w:eastAsia="ru-RU"/>
        </w:rPr>
        <w:t> настоящего Порядка, а также в случае прекращения деятельности заказчика (обособленного подразделения заказчика) при ликвидации заказчика (обособленного подразделения заказчика) или в результате реорганизации заказчика (обособленного подразделения заказчика);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б) изменения кода причины постановки на учет заказчика (для обособленного подразделения заказчика - изменения кода причины постановки и даты постановки на учет заказчика по месту нахождения обособленного подразделения заказчика) в налоговом органе.</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14. ИКУ, признанный недействительным, не может быть присвоен другому заказчику (обособленному подразделению заказчика).</w:t>
      </w:r>
    </w:p>
    <w:p w:rsidR="00F4558C" w:rsidRPr="00F4558C" w:rsidRDefault="00F4558C" w:rsidP="00F4558C">
      <w:pPr>
        <w:spacing w:before="100" w:beforeAutospacing="1" w:after="100" w:afterAutospacing="1" w:line="240" w:lineRule="auto"/>
        <w:jc w:val="both"/>
        <w:rPr>
          <w:rFonts w:ascii="Times New Roman" w:eastAsia="Times New Roman" w:hAnsi="Times New Roman" w:cs="Times New Roman"/>
          <w:sz w:val="23"/>
          <w:szCs w:val="23"/>
          <w:lang w:eastAsia="ru-RU"/>
        </w:rPr>
      </w:pPr>
      <w:r w:rsidRPr="00F4558C">
        <w:rPr>
          <w:rFonts w:ascii="Times New Roman" w:eastAsia="Times New Roman" w:hAnsi="Times New Roman" w:cs="Times New Roman"/>
          <w:sz w:val="23"/>
          <w:szCs w:val="23"/>
          <w:lang w:eastAsia="ru-RU"/>
        </w:rPr>
        <w:t>15. ИКУ, присвоенный заказчику, признанный недействительным, и дата признания его недействительным размещаются Федеральным казначейством на </w:t>
      </w:r>
      <w:r w:rsidRPr="006F1E5E">
        <w:rPr>
          <w:rFonts w:ascii="Times New Roman" w:eastAsia="Times New Roman" w:hAnsi="Times New Roman" w:cs="Times New Roman"/>
          <w:sz w:val="23"/>
          <w:szCs w:val="23"/>
          <w:lang w:eastAsia="ru-RU"/>
        </w:rPr>
        <w:t>официальном сайте</w:t>
      </w:r>
      <w:r w:rsidRPr="00F4558C">
        <w:rPr>
          <w:rFonts w:ascii="Times New Roman" w:eastAsia="Times New Roman" w:hAnsi="Times New Roman" w:cs="Times New Roman"/>
          <w:sz w:val="23"/>
          <w:szCs w:val="23"/>
          <w:lang w:eastAsia="ru-RU"/>
        </w:rPr>
        <w:t> единой информационной системы в сфере закупок в информационно-телекоммуникационной сети "Интернет", в том числе в форме открытых данных.</w:t>
      </w:r>
    </w:p>
    <w:p w:rsidR="00F16A27" w:rsidRDefault="00F16A27"/>
    <w:sectPr w:rsidR="00F16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8C"/>
    <w:rsid w:val="006F1E5E"/>
    <w:rsid w:val="00F16A27"/>
    <w:rsid w:val="00F4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5DA12-C622-4F26-837C-9845BF55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45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F45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4558C"/>
    <w:rPr>
      <w:color w:val="0000FF"/>
      <w:u w:val="single"/>
    </w:rPr>
  </w:style>
  <w:style w:type="paragraph" w:customStyle="1" w:styleId="s16">
    <w:name w:val="s_16"/>
    <w:basedOn w:val="a"/>
    <w:rsid w:val="00F45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45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F45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F4558C"/>
  </w:style>
  <w:style w:type="paragraph" w:styleId="HTML">
    <w:name w:val="HTML Preformatted"/>
    <w:basedOn w:val="a"/>
    <w:link w:val="HTML0"/>
    <w:uiPriority w:val="99"/>
    <w:semiHidden/>
    <w:unhideWhenUsed/>
    <w:rsid w:val="00F45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4558C"/>
    <w:rPr>
      <w:rFonts w:ascii="Courier New" w:eastAsia="Times New Roman" w:hAnsi="Courier New" w:cs="Courier New"/>
      <w:sz w:val="20"/>
      <w:szCs w:val="20"/>
      <w:lang w:eastAsia="ru-RU"/>
    </w:rPr>
  </w:style>
  <w:style w:type="paragraph" w:customStyle="1" w:styleId="s91">
    <w:name w:val="s_91"/>
    <w:basedOn w:val="a"/>
    <w:rsid w:val="00F455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453498">
      <w:bodyDiv w:val="1"/>
      <w:marLeft w:val="0"/>
      <w:marRight w:val="0"/>
      <w:marTop w:val="0"/>
      <w:marBottom w:val="0"/>
      <w:divBdr>
        <w:top w:val="none" w:sz="0" w:space="0" w:color="auto"/>
        <w:left w:val="none" w:sz="0" w:space="0" w:color="auto"/>
        <w:bottom w:val="none" w:sz="0" w:space="0" w:color="auto"/>
        <w:right w:val="none" w:sz="0" w:space="0" w:color="auto"/>
      </w:divBdr>
      <w:divsChild>
        <w:div w:id="1377388708">
          <w:marLeft w:val="0"/>
          <w:marRight w:val="0"/>
          <w:marTop w:val="0"/>
          <w:marBottom w:val="0"/>
          <w:divBdr>
            <w:top w:val="none" w:sz="0" w:space="0" w:color="auto"/>
            <w:left w:val="none" w:sz="0" w:space="0" w:color="auto"/>
            <w:bottom w:val="none" w:sz="0" w:space="0" w:color="auto"/>
            <w:right w:val="none" w:sz="0" w:space="0" w:color="auto"/>
          </w:divBdr>
        </w:div>
        <w:div w:id="1311667715">
          <w:marLeft w:val="0"/>
          <w:marRight w:val="0"/>
          <w:marTop w:val="0"/>
          <w:marBottom w:val="0"/>
          <w:divBdr>
            <w:top w:val="none" w:sz="0" w:space="0" w:color="auto"/>
            <w:left w:val="none" w:sz="0" w:space="0" w:color="auto"/>
            <w:bottom w:val="none" w:sz="0" w:space="0" w:color="auto"/>
            <w:right w:val="none" w:sz="0" w:space="0" w:color="auto"/>
          </w:divBdr>
        </w:div>
        <w:div w:id="1888103648">
          <w:marLeft w:val="0"/>
          <w:marRight w:val="0"/>
          <w:marTop w:val="0"/>
          <w:marBottom w:val="0"/>
          <w:divBdr>
            <w:top w:val="none" w:sz="0" w:space="0" w:color="auto"/>
            <w:left w:val="none" w:sz="0" w:space="0" w:color="auto"/>
            <w:bottom w:val="none" w:sz="0" w:space="0" w:color="auto"/>
            <w:right w:val="none" w:sz="0" w:space="0" w:color="auto"/>
          </w:divBdr>
        </w:div>
        <w:div w:id="1049232503">
          <w:marLeft w:val="0"/>
          <w:marRight w:val="0"/>
          <w:marTop w:val="0"/>
          <w:marBottom w:val="0"/>
          <w:divBdr>
            <w:top w:val="none" w:sz="0" w:space="0" w:color="auto"/>
            <w:left w:val="none" w:sz="0" w:space="0" w:color="auto"/>
            <w:bottom w:val="none" w:sz="0" w:space="0" w:color="auto"/>
            <w:right w:val="none" w:sz="0" w:space="0" w:color="auto"/>
          </w:divBdr>
          <w:divsChild>
            <w:div w:id="212155136">
              <w:marLeft w:val="0"/>
              <w:marRight w:val="0"/>
              <w:marTop w:val="0"/>
              <w:marBottom w:val="0"/>
              <w:divBdr>
                <w:top w:val="none" w:sz="0" w:space="0" w:color="auto"/>
                <w:left w:val="none" w:sz="0" w:space="0" w:color="auto"/>
                <w:bottom w:val="none" w:sz="0" w:space="0" w:color="auto"/>
                <w:right w:val="none" w:sz="0" w:space="0" w:color="auto"/>
              </w:divBdr>
              <w:divsChild>
                <w:div w:id="1307861096">
                  <w:marLeft w:val="0"/>
                  <w:marRight w:val="0"/>
                  <w:marTop w:val="0"/>
                  <w:marBottom w:val="0"/>
                  <w:divBdr>
                    <w:top w:val="none" w:sz="0" w:space="0" w:color="auto"/>
                    <w:left w:val="none" w:sz="0" w:space="0" w:color="auto"/>
                    <w:bottom w:val="none" w:sz="0" w:space="0" w:color="auto"/>
                    <w:right w:val="none" w:sz="0" w:space="0" w:color="auto"/>
                  </w:divBdr>
                </w:div>
              </w:divsChild>
            </w:div>
            <w:div w:id="1571303927">
              <w:marLeft w:val="0"/>
              <w:marRight w:val="0"/>
              <w:marTop w:val="0"/>
              <w:marBottom w:val="0"/>
              <w:divBdr>
                <w:top w:val="none" w:sz="0" w:space="0" w:color="auto"/>
                <w:left w:val="none" w:sz="0" w:space="0" w:color="auto"/>
                <w:bottom w:val="none" w:sz="0" w:space="0" w:color="auto"/>
                <w:right w:val="none" w:sz="0" w:space="0" w:color="auto"/>
              </w:divBdr>
              <w:divsChild>
                <w:div w:id="1899971481">
                  <w:marLeft w:val="0"/>
                  <w:marRight w:val="0"/>
                  <w:marTop w:val="0"/>
                  <w:marBottom w:val="0"/>
                  <w:divBdr>
                    <w:top w:val="none" w:sz="0" w:space="0" w:color="auto"/>
                    <w:left w:val="none" w:sz="0" w:space="0" w:color="auto"/>
                    <w:bottom w:val="none" w:sz="0" w:space="0" w:color="auto"/>
                    <w:right w:val="none" w:sz="0" w:space="0" w:color="auto"/>
                  </w:divBdr>
                  <w:divsChild>
                    <w:div w:id="42872295">
                      <w:marLeft w:val="0"/>
                      <w:marRight w:val="0"/>
                      <w:marTop w:val="0"/>
                      <w:marBottom w:val="0"/>
                      <w:divBdr>
                        <w:top w:val="none" w:sz="0" w:space="0" w:color="auto"/>
                        <w:left w:val="none" w:sz="0" w:space="0" w:color="auto"/>
                        <w:bottom w:val="none" w:sz="0" w:space="0" w:color="auto"/>
                        <w:right w:val="none" w:sz="0" w:space="0" w:color="auto"/>
                      </w:divBdr>
                    </w:div>
                    <w:div w:id="395473506">
                      <w:marLeft w:val="0"/>
                      <w:marRight w:val="0"/>
                      <w:marTop w:val="0"/>
                      <w:marBottom w:val="0"/>
                      <w:divBdr>
                        <w:top w:val="none" w:sz="0" w:space="0" w:color="auto"/>
                        <w:left w:val="none" w:sz="0" w:space="0" w:color="auto"/>
                        <w:bottom w:val="none" w:sz="0" w:space="0" w:color="auto"/>
                        <w:right w:val="none" w:sz="0" w:space="0" w:color="auto"/>
                      </w:divBdr>
                    </w:div>
                    <w:div w:id="1058673409">
                      <w:marLeft w:val="0"/>
                      <w:marRight w:val="0"/>
                      <w:marTop w:val="0"/>
                      <w:marBottom w:val="0"/>
                      <w:divBdr>
                        <w:top w:val="none" w:sz="0" w:space="0" w:color="auto"/>
                        <w:left w:val="none" w:sz="0" w:space="0" w:color="auto"/>
                        <w:bottom w:val="none" w:sz="0" w:space="0" w:color="auto"/>
                        <w:right w:val="none" w:sz="0" w:space="0" w:color="auto"/>
                      </w:divBdr>
                    </w:div>
                    <w:div w:id="1556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38435">
              <w:marLeft w:val="0"/>
              <w:marRight w:val="0"/>
              <w:marTop w:val="0"/>
              <w:marBottom w:val="0"/>
              <w:divBdr>
                <w:top w:val="none" w:sz="0" w:space="0" w:color="auto"/>
                <w:left w:val="none" w:sz="0" w:space="0" w:color="auto"/>
                <w:bottom w:val="none" w:sz="0" w:space="0" w:color="auto"/>
                <w:right w:val="none" w:sz="0" w:space="0" w:color="auto"/>
              </w:divBdr>
              <w:divsChild>
                <w:div w:id="1638996070">
                  <w:marLeft w:val="0"/>
                  <w:marRight w:val="0"/>
                  <w:marTop w:val="0"/>
                  <w:marBottom w:val="0"/>
                  <w:divBdr>
                    <w:top w:val="none" w:sz="0" w:space="0" w:color="auto"/>
                    <w:left w:val="none" w:sz="0" w:space="0" w:color="auto"/>
                    <w:bottom w:val="none" w:sz="0" w:space="0" w:color="auto"/>
                    <w:right w:val="none" w:sz="0" w:space="0" w:color="auto"/>
                  </w:divBdr>
                </w:div>
                <w:div w:id="2134515442">
                  <w:marLeft w:val="0"/>
                  <w:marRight w:val="0"/>
                  <w:marTop w:val="0"/>
                  <w:marBottom w:val="0"/>
                  <w:divBdr>
                    <w:top w:val="none" w:sz="0" w:space="0" w:color="auto"/>
                    <w:left w:val="none" w:sz="0" w:space="0" w:color="auto"/>
                    <w:bottom w:val="none" w:sz="0" w:space="0" w:color="auto"/>
                    <w:right w:val="none" w:sz="0" w:space="0" w:color="auto"/>
                  </w:divBdr>
                </w:div>
                <w:div w:id="831793402">
                  <w:marLeft w:val="0"/>
                  <w:marRight w:val="0"/>
                  <w:marTop w:val="0"/>
                  <w:marBottom w:val="0"/>
                  <w:divBdr>
                    <w:top w:val="none" w:sz="0" w:space="0" w:color="auto"/>
                    <w:left w:val="none" w:sz="0" w:space="0" w:color="auto"/>
                    <w:bottom w:val="none" w:sz="0" w:space="0" w:color="auto"/>
                    <w:right w:val="none" w:sz="0" w:space="0" w:color="auto"/>
                  </w:divBdr>
                </w:div>
                <w:div w:id="25763711">
                  <w:marLeft w:val="0"/>
                  <w:marRight w:val="0"/>
                  <w:marTop w:val="0"/>
                  <w:marBottom w:val="0"/>
                  <w:divBdr>
                    <w:top w:val="none" w:sz="0" w:space="0" w:color="auto"/>
                    <w:left w:val="none" w:sz="0" w:space="0" w:color="auto"/>
                    <w:bottom w:val="none" w:sz="0" w:space="0" w:color="auto"/>
                    <w:right w:val="none" w:sz="0" w:space="0" w:color="auto"/>
                  </w:divBdr>
                </w:div>
                <w:div w:id="1320889983">
                  <w:marLeft w:val="0"/>
                  <w:marRight w:val="0"/>
                  <w:marTop w:val="0"/>
                  <w:marBottom w:val="0"/>
                  <w:divBdr>
                    <w:top w:val="none" w:sz="0" w:space="0" w:color="auto"/>
                    <w:left w:val="none" w:sz="0" w:space="0" w:color="auto"/>
                    <w:bottom w:val="none" w:sz="0" w:space="0" w:color="auto"/>
                    <w:right w:val="none" w:sz="0" w:space="0" w:color="auto"/>
                  </w:divBdr>
                </w:div>
              </w:divsChild>
            </w:div>
            <w:div w:id="426928509">
              <w:marLeft w:val="0"/>
              <w:marRight w:val="0"/>
              <w:marTop w:val="0"/>
              <w:marBottom w:val="0"/>
              <w:divBdr>
                <w:top w:val="none" w:sz="0" w:space="0" w:color="auto"/>
                <w:left w:val="none" w:sz="0" w:space="0" w:color="auto"/>
                <w:bottom w:val="none" w:sz="0" w:space="0" w:color="auto"/>
                <w:right w:val="none" w:sz="0" w:space="0" w:color="auto"/>
              </w:divBdr>
              <w:divsChild>
                <w:div w:id="303436394">
                  <w:marLeft w:val="0"/>
                  <w:marRight w:val="0"/>
                  <w:marTop w:val="0"/>
                  <w:marBottom w:val="0"/>
                  <w:divBdr>
                    <w:top w:val="none" w:sz="0" w:space="0" w:color="auto"/>
                    <w:left w:val="none" w:sz="0" w:space="0" w:color="auto"/>
                    <w:bottom w:val="none" w:sz="0" w:space="0" w:color="auto"/>
                    <w:right w:val="none" w:sz="0" w:space="0" w:color="auto"/>
                  </w:divBdr>
                </w:div>
                <w:div w:id="2052682867">
                  <w:marLeft w:val="0"/>
                  <w:marRight w:val="0"/>
                  <w:marTop w:val="0"/>
                  <w:marBottom w:val="0"/>
                  <w:divBdr>
                    <w:top w:val="none" w:sz="0" w:space="0" w:color="auto"/>
                    <w:left w:val="none" w:sz="0" w:space="0" w:color="auto"/>
                    <w:bottom w:val="none" w:sz="0" w:space="0" w:color="auto"/>
                    <w:right w:val="none" w:sz="0" w:space="0" w:color="auto"/>
                  </w:divBdr>
                </w:div>
                <w:div w:id="297104764">
                  <w:marLeft w:val="0"/>
                  <w:marRight w:val="0"/>
                  <w:marTop w:val="0"/>
                  <w:marBottom w:val="0"/>
                  <w:divBdr>
                    <w:top w:val="none" w:sz="0" w:space="0" w:color="auto"/>
                    <w:left w:val="none" w:sz="0" w:space="0" w:color="auto"/>
                    <w:bottom w:val="none" w:sz="0" w:space="0" w:color="auto"/>
                    <w:right w:val="none" w:sz="0" w:space="0" w:color="auto"/>
                  </w:divBdr>
                </w:div>
                <w:div w:id="1044519802">
                  <w:marLeft w:val="0"/>
                  <w:marRight w:val="0"/>
                  <w:marTop w:val="0"/>
                  <w:marBottom w:val="0"/>
                  <w:divBdr>
                    <w:top w:val="none" w:sz="0" w:space="0" w:color="auto"/>
                    <w:left w:val="none" w:sz="0" w:space="0" w:color="auto"/>
                    <w:bottom w:val="none" w:sz="0" w:space="0" w:color="auto"/>
                    <w:right w:val="none" w:sz="0" w:space="0" w:color="auto"/>
                  </w:divBdr>
                </w:div>
              </w:divsChild>
            </w:div>
            <w:div w:id="1539779275">
              <w:marLeft w:val="0"/>
              <w:marRight w:val="0"/>
              <w:marTop w:val="0"/>
              <w:marBottom w:val="0"/>
              <w:divBdr>
                <w:top w:val="none" w:sz="0" w:space="0" w:color="auto"/>
                <w:left w:val="none" w:sz="0" w:space="0" w:color="auto"/>
                <w:bottom w:val="none" w:sz="0" w:space="0" w:color="auto"/>
                <w:right w:val="none" w:sz="0" w:space="0" w:color="auto"/>
              </w:divBdr>
              <w:divsChild>
                <w:div w:id="1946425775">
                  <w:marLeft w:val="0"/>
                  <w:marRight w:val="0"/>
                  <w:marTop w:val="0"/>
                  <w:marBottom w:val="0"/>
                  <w:divBdr>
                    <w:top w:val="none" w:sz="0" w:space="0" w:color="auto"/>
                    <w:left w:val="none" w:sz="0" w:space="0" w:color="auto"/>
                    <w:bottom w:val="none" w:sz="0" w:space="0" w:color="auto"/>
                    <w:right w:val="none" w:sz="0" w:space="0" w:color="auto"/>
                  </w:divBdr>
                  <w:divsChild>
                    <w:div w:id="369959015">
                      <w:marLeft w:val="0"/>
                      <w:marRight w:val="0"/>
                      <w:marTop w:val="0"/>
                      <w:marBottom w:val="0"/>
                      <w:divBdr>
                        <w:top w:val="none" w:sz="0" w:space="0" w:color="auto"/>
                        <w:left w:val="none" w:sz="0" w:space="0" w:color="auto"/>
                        <w:bottom w:val="none" w:sz="0" w:space="0" w:color="auto"/>
                        <w:right w:val="none" w:sz="0" w:space="0" w:color="auto"/>
                      </w:divBdr>
                    </w:div>
                    <w:div w:id="525606917">
                      <w:marLeft w:val="0"/>
                      <w:marRight w:val="0"/>
                      <w:marTop w:val="0"/>
                      <w:marBottom w:val="0"/>
                      <w:divBdr>
                        <w:top w:val="none" w:sz="0" w:space="0" w:color="auto"/>
                        <w:left w:val="none" w:sz="0" w:space="0" w:color="auto"/>
                        <w:bottom w:val="none" w:sz="0" w:space="0" w:color="auto"/>
                        <w:right w:val="none" w:sz="0" w:space="0" w:color="auto"/>
                      </w:divBdr>
                    </w:div>
                  </w:divsChild>
                </w:div>
                <w:div w:id="1418865250">
                  <w:marLeft w:val="0"/>
                  <w:marRight w:val="0"/>
                  <w:marTop w:val="0"/>
                  <w:marBottom w:val="0"/>
                  <w:divBdr>
                    <w:top w:val="none" w:sz="0" w:space="0" w:color="auto"/>
                    <w:left w:val="none" w:sz="0" w:space="0" w:color="auto"/>
                    <w:bottom w:val="none" w:sz="0" w:space="0" w:color="auto"/>
                    <w:right w:val="none" w:sz="0" w:space="0" w:color="auto"/>
                  </w:divBdr>
                </w:div>
                <w:div w:id="99566623">
                  <w:marLeft w:val="0"/>
                  <w:marRight w:val="0"/>
                  <w:marTop w:val="0"/>
                  <w:marBottom w:val="0"/>
                  <w:divBdr>
                    <w:top w:val="none" w:sz="0" w:space="0" w:color="auto"/>
                    <w:left w:val="none" w:sz="0" w:space="0" w:color="auto"/>
                    <w:bottom w:val="none" w:sz="0" w:space="0" w:color="auto"/>
                    <w:right w:val="none" w:sz="0" w:space="0" w:color="auto"/>
                  </w:divBdr>
                </w:div>
                <w:div w:id="1789666497">
                  <w:marLeft w:val="0"/>
                  <w:marRight w:val="0"/>
                  <w:marTop w:val="0"/>
                  <w:marBottom w:val="0"/>
                  <w:divBdr>
                    <w:top w:val="none" w:sz="0" w:space="0" w:color="auto"/>
                    <w:left w:val="none" w:sz="0" w:space="0" w:color="auto"/>
                    <w:bottom w:val="none" w:sz="0" w:space="0" w:color="auto"/>
                    <w:right w:val="none" w:sz="0" w:space="0" w:color="auto"/>
                  </w:divBdr>
                </w:div>
                <w:div w:id="413938121">
                  <w:marLeft w:val="0"/>
                  <w:marRight w:val="0"/>
                  <w:marTop w:val="0"/>
                  <w:marBottom w:val="0"/>
                  <w:divBdr>
                    <w:top w:val="none" w:sz="0" w:space="0" w:color="auto"/>
                    <w:left w:val="none" w:sz="0" w:space="0" w:color="auto"/>
                    <w:bottom w:val="none" w:sz="0" w:space="0" w:color="auto"/>
                    <w:right w:val="none" w:sz="0" w:space="0" w:color="auto"/>
                  </w:divBdr>
                </w:div>
                <w:div w:id="1743916903">
                  <w:marLeft w:val="0"/>
                  <w:marRight w:val="0"/>
                  <w:marTop w:val="0"/>
                  <w:marBottom w:val="0"/>
                  <w:divBdr>
                    <w:top w:val="none" w:sz="0" w:space="0" w:color="auto"/>
                    <w:left w:val="none" w:sz="0" w:space="0" w:color="auto"/>
                    <w:bottom w:val="none" w:sz="0" w:space="0" w:color="auto"/>
                    <w:right w:val="none" w:sz="0" w:space="0" w:color="auto"/>
                  </w:divBdr>
                  <w:divsChild>
                    <w:div w:id="90858736">
                      <w:marLeft w:val="0"/>
                      <w:marRight w:val="0"/>
                      <w:marTop w:val="0"/>
                      <w:marBottom w:val="0"/>
                      <w:divBdr>
                        <w:top w:val="none" w:sz="0" w:space="0" w:color="auto"/>
                        <w:left w:val="none" w:sz="0" w:space="0" w:color="auto"/>
                        <w:bottom w:val="none" w:sz="0" w:space="0" w:color="auto"/>
                        <w:right w:val="none" w:sz="0" w:space="0" w:color="auto"/>
                      </w:divBdr>
                    </w:div>
                    <w:div w:id="1736926414">
                      <w:marLeft w:val="0"/>
                      <w:marRight w:val="0"/>
                      <w:marTop w:val="0"/>
                      <w:marBottom w:val="0"/>
                      <w:divBdr>
                        <w:top w:val="none" w:sz="0" w:space="0" w:color="auto"/>
                        <w:left w:val="none" w:sz="0" w:space="0" w:color="auto"/>
                        <w:bottom w:val="none" w:sz="0" w:space="0" w:color="auto"/>
                        <w:right w:val="none" w:sz="0" w:space="0" w:color="auto"/>
                      </w:divBdr>
                    </w:div>
                    <w:div w:id="1388264659">
                      <w:marLeft w:val="0"/>
                      <w:marRight w:val="0"/>
                      <w:marTop w:val="0"/>
                      <w:marBottom w:val="0"/>
                      <w:divBdr>
                        <w:top w:val="none" w:sz="0" w:space="0" w:color="auto"/>
                        <w:left w:val="none" w:sz="0" w:space="0" w:color="auto"/>
                        <w:bottom w:val="none" w:sz="0" w:space="0" w:color="auto"/>
                        <w:right w:val="none" w:sz="0" w:space="0" w:color="auto"/>
                      </w:divBdr>
                    </w:div>
                    <w:div w:id="2165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2626">
          <w:marLeft w:val="0"/>
          <w:marRight w:val="0"/>
          <w:marTop w:val="0"/>
          <w:marBottom w:val="0"/>
          <w:divBdr>
            <w:top w:val="none" w:sz="0" w:space="0" w:color="auto"/>
            <w:left w:val="none" w:sz="0" w:space="0" w:color="auto"/>
            <w:bottom w:val="none" w:sz="0" w:space="0" w:color="auto"/>
            <w:right w:val="none" w:sz="0" w:space="0" w:color="auto"/>
          </w:divBdr>
          <w:divsChild>
            <w:div w:id="1734770246">
              <w:marLeft w:val="0"/>
              <w:marRight w:val="0"/>
              <w:marTop w:val="0"/>
              <w:marBottom w:val="0"/>
              <w:divBdr>
                <w:top w:val="none" w:sz="0" w:space="0" w:color="auto"/>
                <w:left w:val="none" w:sz="0" w:space="0" w:color="auto"/>
                <w:bottom w:val="none" w:sz="0" w:space="0" w:color="auto"/>
                <w:right w:val="none" w:sz="0" w:space="0" w:color="auto"/>
              </w:divBdr>
              <w:divsChild>
                <w:div w:id="1636982973">
                  <w:marLeft w:val="0"/>
                  <w:marRight w:val="0"/>
                  <w:marTop w:val="0"/>
                  <w:marBottom w:val="0"/>
                  <w:divBdr>
                    <w:top w:val="none" w:sz="0" w:space="0" w:color="auto"/>
                    <w:left w:val="none" w:sz="0" w:space="0" w:color="auto"/>
                    <w:bottom w:val="none" w:sz="0" w:space="0" w:color="auto"/>
                    <w:right w:val="none" w:sz="0" w:space="0" w:color="auto"/>
                  </w:divBdr>
                </w:div>
              </w:divsChild>
            </w:div>
            <w:div w:id="1178273845">
              <w:marLeft w:val="0"/>
              <w:marRight w:val="0"/>
              <w:marTop w:val="0"/>
              <w:marBottom w:val="0"/>
              <w:divBdr>
                <w:top w:val="none" w:sz="0" w:space="0" w:color="auto"/>
                <w:left w:val="none" w:sz="0" w:space="0" w:color="auto"/>
                <w:bottom w:val="none" w:sz="0" w:space="0" w:color="auto"/>
                <w:right w:val="none" w:sz="0" w:space="0" w:color="auto"/>
              </w:divBdr>
              <w:divsChild>
                <w:div w:id="225268103">
                  <w:marLeft w:val="0"/>
                  <w:marRight w:val="0"/>
                  <w:marTop w:val="0"/>
                  <w:marBottom w:val="0"/>
                  <w:divBdr>
                    <w:top w:val="none" w:sz="0" w:space="0" w:color="auto"/>
                    <w:left w:val="none" w:sz="0" w:space="0" w:color="auto"/>
                    <w:bottom w:val="none" w:sz="0" w:space="0" w:color="auto"/>
                    <w:right w:val="none" w:sz="0" w:space="0" w:color="auto"/>
                  </w:divBdr>
                  <w:divsChild>
                    <w:div w:id="1646547192">
                      <w:marLeft w:val="0"/>
                      <w:marRight w:val="0"/>
                      <w:marTop w:val="0"/>
                      <w:marBottom w:val="0"/>
                      <w:divBdr>
                        <w:top w:val="none" w:sz="0" w:space="0" w:color="auto"/>
                        <w:left w:val="none" w:sz="0" w:space="0" w:color="auto"/>
                        <w:bottom w:val="none" w:sz="0" w:space="0" w:color="auto"/>
                        <w:right w:val="none" w:sz="0" w:space="0" w:color="auto"/>
                      </w:divBdr>
                    </w:div>
                    <w:div w:id="1678271223">
                      <w:marLeft w:val="0"/>
                      <w:marRight w:val="0"/>
                      <w:marTop w:val="0"/>
                      <w:marBottom w:val="0"/>
                      <w:divBdr>
                        <w:top w:val="none" w:sz="0" w:space="0" w:color="auto"/>
                        <w:left w:val="none" w:sz="0" w:space="0" w:color="auto"/>
                        <w:bottom w:val="none" w:sz="0" w:space="0" w:color="auto"/>
                        <w:right w:val="none" w:sz="0" w:space="0" w:color="auto"/>
                      </w:divBdr>
                    </w:div>
                    <w:div w:id="13032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3168">
              <w:marLeft w:val="0"/>
              <w:marRight w:val="0"/>
              <w:marTop w:val="0"/>
              <w:marBottom w:val="0"/>
              <w:divBdr>
                <w:top w:val="none" w:sz="0" w:space="0" w:color="auto"/>
                <w:left w:val="none" w:sz="0" w:space="0" w:color="auto"/>
                <w:bottom w:val="none" w:sz="0" w:space="0" w:color="auto"/>
                <w:right w:val="none" w:sz="0" w:space="0" w:color="auto"/>
              </w:divBdr>
              <w:divsChild>
                <w:div w:id="1775205487">
                  <w:marLeft w:val="0"/>
                  <w:marRight w:val="0"/>
                  <w:marTop w:val="0"/>
                  <w:marBottom w:val="0"/>
                  <w:divBdr>
                    <w:top w:val="none" w:sz="0" w:space="0" w:color="auto"/>
                    <w:left w:val="none" w:sz="0" w:space="0" w:color="auto"/>
                    <w:bottom w:val="none" w:sz="0" w:space="0" w:color="auto"/>
                    <w:right w:val="none" w:sz="0" w:space="0" w:color="auto"/>
                  </w:divBdr>
                </w:div>
                <w:div w:id="1555657802">
                  <w:marLeft w:val="0"/>
                  <w:marRight w:val="0"/>
                  <w:marTop w:val="0"/>
                  <w:marBottom w:val="0"/>
                  <w:divBdr>
                    <w:top w:val="none" w:sz="0" w:space="0" w:color="auto"/>
                    <w:left w:val="none" w:sz="0" w:space="0" w:color="auto"/>
                    <w:bottom w:val="none" w:sz="0" w:space="0" w:color="auto"/>
                    <w:right w:val="none" w:sz="0" w:space="0" w:color="auto"/>
                  </w:divBdr>
                </w:div>
                <w:div w:id="1951429941">
                  <w:marLeft w:val="0"/>
                  <w:marRight w:val="0"/>
                  <w:marTop w:val="0"/>
                  <w:marBottom w:val="0"/>
                  <w:divBdr>
                    <w:top w:val="none" w:sz="0" w:space="0" w:color="auto"/>
                    <w:left w:val="none" w:sz="0" w:space="0" w:color="auto"/>
                    <w:bottom w:val="none" w:sz="0" w:space="0" w:color="auto"/>
                    <w:right w:val="none" w:sz="0" w:space="0" w:color="auto"/>
                  </w:divBdr>
                </w:div>
                <w:div w:id="290282749">
                  <w:marLeft w:val="0"/>
                  <w:marRight w:val="0"/>
                  <w:marTop w:val="0"/>
                  <w:marBottom w:val="0"/>
                  <w:divBdr>
                    <w:top w:val="none" w:sz="0" w:space="0" w:color="auto"/>
                    <w:left w:val="none" w:sz="0" w:space="0" w:color="auto"/>
                    <w:bottom w:val="none" w:sz="0" w:space="0" w:color="auto"/>
                    <w:right w:val="none" w:sz="0" w:space="0" w:color="auto"/>
                  </w:divBdr>
                </w:div>
                <w:div w:id="1847934436">
                  <w:marLeft w:val="0"/>
                  <w:marRight w:val="0"/>
                  <w:marTop w:val="0"/>
                  <w:marBottom w:val="0"/>
                  <w:divBdr>
                    <w:top w:val="none" w:sz="0" w:space="0" w:color="auto"/>
                    <w:left w:val="none" w:sz="0" w:space="0" w:color="auto"/>
                    <w:bottom w:val="none" w:sz="0" w:space="0" w:color="auto"/>
                    <w:right w:val="none" w:sz="0" w:space="0" w:color="auto"/>
                  </w:divBdr>
                </w:div>
              </w:divsChild>
            </w:div>
            <w:div w:id="1247617438">
              <w:marLeft w:val="0"/>
              <w:marRight w:val="0"/>
              <w:marTop w:val="0"/>
              <w:marBottom w:val="0"/>
              <w:divBdr>
                <w:top w:val="none" w:sz="0" w:space="0" w:color="auto"/>
                <w:left w:val="none" w:sz="0" w:space="0" w:color="auto"/>
                <w:bottom w:val="none" w:sz="0" w:space="0" w:color="auto"/>
                <w:right w:val="none" w:sz="0" w:space="0" w:color="auto"/>
              </w:divBdr>
            </w:div>
          </w:divsChild>
        </w:div>
        <w:div w:id="1010138180">
          <w:marLeft w:val="0"/>
          <w:marRight w:val="0"/>
          <w:marTop w:val="0"/>
          <w:marBottom w:val="11250"/>
          <w:divBdr>
            <w:top w:val="none" w:sz="0" w:space="0" w:color="auto"/>
            <w:left w:val="none" w:sz="0" w:space="0" w:color="auto"/>
            <w:bottom w:val="none" w:sz="0" w:space="0" w:color="auto"/>
            <w:right w:val="none" w:sz="0" w:space="0" w:color="auto"/>
          </w:divBdr>
          <w:divsChild>
            <w:div w:id="264118763">
              <w:marLeft w:val="0"/>
              <w:marRight w:val="0"/>
              <w:marTop w:val="0"/>
              <w:marBottom w:val="0"/>
              <w:divBdr>
                <w:top w:val="none" w:sz="0" w:space="0" w:color="auto"/>
                <w:left w:val="none" w:sz="0" w:space="0" w:color="auto"/>
                <w:bottom w:val="none" w:sz="0" w:space="0" w:color="auto"/>
                <w:right w:val="none" w:sz="0" w:space="0" w:color="auto"/>
              </w:divBdr>
              <w:divsChild>
                <w:div w:id="1895854149">
                  <w:marLeft w:val="0"/>
                  <w:marRight w:val="0"/>
                  <w:marTop w:val="0"/>
                  <w:marBottom w:val="0"/>
                  <w:divBdr>
                    <w:top w:val="none" w:sz="0" w:space="0" w:color="auto"/>
                    <w:left w:val="none" w:sz="0" w:space="0" w:color="auto"/>
                    <w:bottom w:val="none" w:sz="0" w:space="0" w:color="auto"/>
                    <w:right w:val="none" w:sz="0" w:space="0" w:color="auto"/>
                  </w:divBdr>
                  <w:divsChild>
                    <w:div w:id="162476634">
                      <w:marLeft w:val="0"/>
                      <w:marRight w:val="0"/>
                      <w:marTop w:val="0"/>
                      <w:marBottom w:val="0"/>
                      <w:divBdr>
                        <w:top w:val="none" w:sz="0" w:space="0" w:color="auto"/>
                        <w:left w:val="none" w:sz="0" w:space="0" w:color="auto"/>
                        <w:bottom w:val="none" w:sz="0" w:space="0" w:color="auto"/>
                        <w:right w:val="none" w:sz="0" w:space="0" w:color="auto"/>
                      </w:divBdr>
                    </w:div>
                    <w:div w:id="1094208219">
                      <w:marLeft w:val="0"/>
                      <w:marRight w:val="0"/>
                      <w:marTop w:val="0"/>
                      <w:marBottom w:val="0"/>
                      <w:divBdr>
                        <w:top w:val="none" w:sz="0" w:space="0" w:color="auto"/>
                        <w:left w:val="none" w:sz="0" w:space="0" w:color="auto"/>
                        <w:bottom w:val="none" w:sz="0" w:space="0" w:color="auto"/>
                        <w:right w:val="none" w:sz="0" w:space="0" w:color="auto"/>
                      </w:divBdr>
                    </w:div>
                    <w:div w:id="1178498349">
                      <w:marLeft w:val="0"/>
                      <w:marRight w:val="0"/>
                      <w:marTop w:val="0"/>
                      <w:marBottom w:val="0"/>
                      <w:divBdr>
                        <w:top w:val="none" w:sz="0" w:space="0" w:color="auto"/>
                        <w:left w:val="none" w:sz="0" w:space="0" w:color="auto"/>
                        <w:bottom w:val="none" w:sz="0" w:space="0" w:color="auto"/>
                        <w:right w:val="none" w:sz="0" w:space="0" w:color="auto"/>
                      </w:divBdr>
                    </w:div>
                    <w:div w:id="1634403288">
                      <w:marLeft w:val="0"/>
                      <w:marRight w:val="0"/>
                      <w:marTop w:val="0"/>
                      <w:marBottom w:val="0"/>
                      <w:divBdr>
                        <w:top w:val="none" w:sz="0" w:space="0" w:color="auto"/>
                        <w:left w:val="none" w:sz="0" w:space="0" w:color="auto"/>
                        <w:bottom w:val="none" w:sz="0" w:space="0" w:color="auto"/>
                        <w:right w:val="none" w:sz="0" w:space="0" w:color="auto"/>
                      </w:divBdr>
                    </w:div>
                  </w:divsChild>
                </w:div>
                <w:div w:id="1508865576">
                  <w:marLeft w:val="0"/>
                  <w:marRight w:val="0"/>
                  <w:marTop w:val="0"/>
                  <w:marBottom w:val="0"/>
                  <w:divBdr>
                    <w:top w:val="none" w:sz="0" w:space="0" w:color="auto"/>
                    <w:left w:val="none" w:sz="0" w:space="0" w:color="auto"/>
                    <w:bottom w:val="none" w:sz="0" w:space="0" w:color="auto"/>
                    <w:right w:val="none" w:sz="0" w:space="0" w:color="auto"/>
                  </w:divBdr>
                  <w:divsChild>
                    <w:div w:id="420101952">
                      <w:marLeft w:val="0"/>
                      <w:marRight w:val="0"/>
                      <w:marTop w:val="0"/>
                      <w:marBottom w:val="0"/>
                      <w:divBdr>
                        <w:top w:val="none" w:sz="0" w:space="0" w:color="auto"/>
                        <w:left w:val="none" w:sz="0" w:space="0" w:color="auto"/>
                        <w:bottom w:val="none" w:sz="0" w:space="0" w:color="auto"/>
                        <w:right w:val="none" w:sz="0" w:space="0" w:color="auto"/>
                      </w:divBdr>
                      <w:divsChild>
                        <w:div w:id="762145864">
                          <w:marLeft w:val="0"/>
                          <w:marRight w:val="0"/>
                          <w:marTop w:val="0"/>
                          <w:marBottom w:val="0"/>
                          <w:divBdr>
                            <w:top w:val="none" w:sz="0" w:space="0" w:color="auto"/>
                            <w:left w:val="none" w:sz="0" w:space="0" w:color="auto"/>
                            <w:bottom w:val="none" w:sz="0" w:space="0" w:color="auto"/>
                            <w:right w:val="none" w:sz="0" w:space="0" w:color="auto"/>
                          </w:divBdr>
                        </w:div>
                        <w:div w:id="1070998858">
                          <w:marLeft w:val="0"/>
                          <w:marRight w:val="0"/>
                          <w:marTop w:val="0"/>
                          <w:marBottom w:val="0"/>
                          <w:divBdr>
                            <w:top w:val="none" w:sz="0" w:space="0" w:color="auto"/>
                            <w:left w:val="none" w:sz="0" w:space="0" w:color="auto"/>
                            <w:bottom w:val="none" w:sz="0" w:space="0" w:color="auto"/>
                            <w:right w:val="none" w:sz="0" w:space="0" w:color="auto"/>
                          </w:divBdr>
                        </w:div>
                      </w:divsChild>
                    </w:div>
                    <w:div w:id="1437479008">
                      <w:marLeft w:val="0"/>
                      <w:marRight w:val="0"/>
                      <w:marTop w:val="0"/>
                      <w:marBottom w:val="0"/>
                      <w:divBdr>
                        <w:top w:val="none" w:sz="0" w:space="0" w:color="auto"/>
                        <w:left w:val="none" w:sz="0" w:space="0" w:color="auto"/>
                        <w:bottom w:val="none" w:sz="0" w:space="0" w:color="auto"/>
                        <w:right w:val="none" w:sz="0" w:space="0" w:color="auto"/>
                      </w:divBdr>
                      <w:divsChild>
                        <w:div w:id="346833975">
                          <w:marLeft w:val="0"/>
                          <w:marRight w:val="0"/>
                          <w:marTop w:val="0"/>
                          <w:marBottom w:val="0"/>
                          <w:divBdr>
                            <w:top w:val="none" w:sz="0" w:space="0" w:color="auto"/>
                            <w:left w:val="none" w:sz="0" w:space="0" w:color="auto"/>
                            <w:bottom w:val="none" w:sz="0" w:space="0" w:color="auto"/>
                            <w:right w:val="none" w:sz="0" w:space="0" w:color="auto"/>
                          </w:divBdr>
                        </w:div>
                        <w:div w:id="214006888">
                          <w:marLeft w:val="0"/>
                          <w:marRight w:val="0"/>
                          <w:marTop w:val="0"/>
                          <w:marBottom w:val="0"/>
                          <w:divBdr>
                            <w:top w:val="none" w:sz="0" w:space="0" w:color="auto"/>
                            <w:left w:val="none" w:sz="0" w:space="0" w:color="auto"/>
                            <w:bottom w:val="none" w:sz="0" w:space="0" w:color="auto"/>
                            <w:right w:val="none" w:sz="0" w:space="0" w:color="auto"/>
                          </w:divBdr>
                        </w:div>
                      </w:divsChild>
                    </w:div>
                    <w:div w:id="1485077048">
                      <w:marLeft w:val="0"/>
                      <w:marRight w:val="0"/>
                      <w:marTop w:val="0"/>
                      <w:marBottom w:val="0"/>
                      <w:divBdr>
                        <w:top w:val="none" w:sz="0" w:space="0" w:color="auto"/>
                        <w:left w:val="none" w:sz="0" w:space="0" w:color="auto"/>
                        <w:bottom w:val="none" w:sz="0" w:space="0" w:color="auto"/>
                        <w:right w:val="none" w:sz="0" w:space="0" w:color="auto"/>
                      </w:divBdr>
                    </w:div>
                    <w:div w:id="16961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3547</Words>
  <Characters>20223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2022-01-17T10:36:00Z</dcterms:created>
  <dcterms:modified xsi:type="dcterms:W3CDTF">2022-01-17T10:55:00Z</dcterms:modified>
</cp:coreProperties>
</file>