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C5" w:rsidRDefault="00847CC5" w:rsidP="00847CC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ПРАВИТЕЛЬСТВО РОССИЙСКОЙ ФЕДЕРАЦИИ</w:t>
      </w:r>
    </w:p>
    <w:p w:rsidR="00847CC5" w:rsidRDefault="00847CC5" w:rsidP="00847CC5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ПОСТАНОВЛЕНИЕ</w:t>
      </w:r>
    </w:p>
    <w:p w:rsidR="00847CC5" w:rsidRDefault="00847CC5" w:rsidP="00847CC5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от 21 апреля 2022 г. </w:t>
      </w:r>
      <w:r w:rsidR="00B65CA0">
        <w:rPr>
          <w:rFonts w:ascii="Arial" w:hAnsi="Arial" w:cs="Arial"/>
          <w:b/>
          <w:bCs/>
          <w:color w:val="000000"/>
          <w:kern w:val="36"/>
          <w:sz w:val="30"/>
          <w:szCs w:val="30"/>
        </w:rPr>
        <w:t>№</w:t>
      </w: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 733</w:t>
      </w:r>
    </w:p>
    <w:p w:rsidR="00847CC5" w:rsidRPr="00B65CA0" w:rsidRDefault="00847CC5" w:rsidP="00B65CA0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B65CA0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О ВНЕСЕНИИ ИЗМЕНЕНИЙ</w:t>
      </w:r>
      <w:r w:rsidR="00B65CA0" w:rsidRPr="00B65CA0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B65CA0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В ПЕРЕЧЕНЬ МЕДИЦИНСКИХ ИЗДЕЛИЙ ОДНОРАЗОВОГО ПРИМЕНЕНИЯ</w:t>
      </w:r>
      <w:r w:rsidR="00B65CA0" w:rsidRPr="00B65CA0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B65CA0">
        <w:rPr>
          <w:rFonts w:ascii="Arial" w:hAnsi="Arial" w:cs="Arial"/>
          <w:b/>
          <w:bCs/>
          <w:color w:val="000000"/>
          <w:kern w:val="36"/>
          <w:sz w:val="28"/>
          <w:szCs w:val="28"/>
        </w:rPr>
        <w:t>(ИСПОЛЬЗОВАНИЯ) ИЗ ПОЛИВИНИЛХЛОРИДНЫХ</w:t>
      </w:r>
      <w:r w:rsidR="00B65CA0" w:rsidRPr="00B65CA0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B65CA0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ПЛАСТИКОВ И ИНЫХ</w:t>
      </w:r>
      <w:r w:rsidR="00B65CA0" w:rsidRPr="00B65CA0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B65CA0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ПЛАСТИКОВ, ПОЛИМЕРОВ И МАТЕРИАЛОВ, ПРОИСХОДЯ</w:t>
      </w:r>
      <w:bookmarkStart w:id="0" w:name="_GoBack"/>
      <w:bookmarkEnd w:id="0"/>
      <w:r w:rsidRPr="00B65CA0">
        <w:rPr>
          <w:rFonts w:ascii="Arial" w:hAnsi="Arial" w:cs="Arial"/>
          <w:b/>
          <w:bCs/>
          <w:color w:val="000000"/>
          <w:kern w:val="36"/>
          <w:sz w:val="28"/>
          <w:szCs w:val="28"/>
        </w:rPr>
        <w:t>ЩИХ</w:t>
      </w:r>
      <w:r w:rsidR="00B65CA0" w:rsidRPr="00B65CA0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B65CA0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ИЗ ИНОСТРАННЫХ ГОСУДАРСТВ, В ОТНОШЕНИИ КОТОРЫХ</w:t>
      </w:r>
      <w:r w:rsidR="00B65CA0" w:rsidRPr="00B65CA0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B65CA0">
        <w:rPr>
          <w:rFonts w:ascii="Arial" w:hAnsi="Arial" w:cs="Arial"/>
          <w:b/>
          <w:bCs/>
          <w:color w:val="000000"/>
          <w:kern w:val="36"/>
          <w:sz w:val="28"/>
          <w:szCs w:val="28"/>
        </w:rPr>
        <w:t>УСТАНАВЛИВАЮТСЯ ОГРАНИЧЕНИЯ ДОПУСКА ДЛЯ ЦЕЛЕЙ</w:t>
      </w:r>
      <w:r w:rsidR="00B65CA0" w:rsidRPr="00B65CA0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B65CA0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ОСУЩЕСТВЛЕНИЯ ЗАКУПОК ДЛЯ ОБЕСПЕЧЕНИЯ</w:t>
      </w:r>
      <w:r w:rsidR="00B65CA0" w:rsidRPr="00B65CA0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B65CA0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ГОСУДАРСТВЕННЫХ И МУНИЦИПАЛЬНЫХ НУЖД</w:t>
      </w:r>
    </w:p>
    <w:p w:rsidR="00B65CA0" w:rsidRDefault="00B65CA0" w:rsidP="00B65CA0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</w:p>
    <w:p w:rsidR="00847CC5" w:rsidRDefault="00847CC5" w:rsidP="007B5B50">
      <w:pPr>
        <w:pStyle w:val="a4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Правительство Российской Федерации постановляет:</w:t>
      </w:r>
    </w:p>
    <w:p w:rsidR="00847CC5" w:rsidRDefault="00847CC5" w:rsidP="007B5B50">
      <w:pPr>
        <w:pStyle w:val="a4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 </w:t>
      </w:r>
      <w:proofErr w:type="gramStart"/>
      <w:r>
        <w:rPr>
          <w:color w:val="000000"/>
          <w:sz w:val="30"/>
          <w:szCs w:val="30"/>
        </w:rPr>
        <w:t>Утвердить прилагаемые </w:t>
      </w:r>
      <w:r w:rsidRPr="00B65CA0">
        <w:rPr>
          <w:color w:val="000000"/>
          <w:sz w:val="30"/>
          <w:szCs w:val="30"/>
        </w:rPr>
        <w:t>изменения</w:t>
      </w:r>
      <w:r>
        <w:rPr>
          <w:color w:val="000000"/>
          <w:sz w:val="30"/>
          <w:szCs w:val="30"/>
        </w:rPr>
        <w:t>, которые вносятся в </w:t>
      </w:r>
      <w:r w:rsidRPr="00B65CA0">
        <w:rPr>
          <w:color w:val="000000"/>
          <w:sz w:val="30"/>
          <w:szCs w:val="30"/>
        </w:rPr>
        <w:t>перечень</w:t>
      </w:r>
      <w:r>
        <w:rPr>
          <w:color w:val="000000"/>
          <w:sz w:val="30"/>
          <w:szCs w:val="30"/>
        </w:rPr>
        <w:t xml:space="preserve"> медицинских изделий одноразового применения (использования) из поливинилхлоридных пластиков и иных пластиков, полимеров и материалов,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</w:t>
      </w:r>
      <w:r w:rsidR="00B65CA0"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102 "Об ограничениях и условиях допуска отдельных видов медицинских</w:t>
      </w:r>
      <w:proofErr w:type="gramEnd"/>
      <w:r>
        <w:rPr>
          <w:color w:val="000000"/>
          <w:sz w:val="30"/>
          <w:szCs w:val="30"/>
        </w:rPr>
        <w:t xml:space="preserve"> изделий,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</w:t>
      </w:r>
      <w:r w:rsidR="00B65CA0"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6, ст. 979; 2016, </w:t>
      </w:r>
      <w:r w:rsidR="00B65CA0"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18, ст. 2630; 2017, </w:t>
      </w:r>
      <w:r w:rsidR="00B65CA0"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34, ст. 5291; 2021, </w:t>
      </w:r>
      <w:r w:rsidR="00B65CA0"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1, ст. 103; </w:t>
      </w:r>
      <w:r w:rsidR="00B65CA0"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5, ст. 857).</w:t>
      </w:r>
    </w:p>
    <w:p w:rsidR="00847CC5" w:rsidRDefault="00847CC5" w:rsidP="007B5B50">
      <w:pPr>
        <w:pStyle w:val="a4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 Установить, что положения настоящего постановления применяются к отношениям, связанным с осуществлением закупок для обеспечения государственных и муниципальных нужд, </w:t>
      </w:r>
      <w:proofErr w:type="gramStart"/>
      <w:r>
        <w:rPr>
          <w:color w:val="000000"/>
          <w:sz w:val="30"/>
          <w:szCs w:val="30"/>
        </w:rPr>
        <w:t>извещения</w:t>
      </w:r>
      <w:proofErr w:type="gramEnd"/>
      <w:r>
        <w:rPr>
          <w:color w:val="000000"/>
          <w:sz w:val="30"/>
          <w:szCs w:val="30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B65CA0" w:rsidRDefault="00B65CA0" w:rsidP="007B5B50">
      <w:pPr>
        <w:pStyle w:val="alignright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B65CA0" w:rsidRDefault="00B65CA0" w:rsidP="007B5B50">
      <w:pPr>
        <w:pStyle w:val="alignright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B65CA0" w:rsidRDefault="00B65CA0" w:rsidP="00847CC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</w:p>
    <w:p w:rsidR="00847CC5" w:rsidRDefault="00847CC5" w:rsidP="00847CC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Председатель Правительства</w:t>
      </w:r>
    </w:p>
    <w:p w:rsidR="00847CC5" w:rsidRDefault="00847CC5" w:rsidP="00847CC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Российской Федерации</w:t>
      </w:r>
    </w:p>
    <w:p w:rsidR="00847CC5" w:rsidRDefault="00847CC5" w:rsidP="00847CC5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М.МИШУСТИН</w:t>
      </w:r>
    </w:p>
    <w:p w:rsidR="00847CC5" w:rsidRPr="00847CC5" w:rsidRDefault="00847CC5" w:rsidP="00847CC5">
      <w:pPr>
        <w:shd w:val="clear" w:color="auto" w:fill="FFFFFF"/>
        <w:spacing w:before="210"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Утверждены</w:t>
      </w:r>
    </w:p>
    <w:p w:rsidR="00847CC5" w:rsidRPr="00847CC5" w:rsidRDefault="00847CC5" w:rsidP="00847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 Правительства</w:t>
      </w:r>
    </w:p>
    <w:p w:rsidR="00847CC5" w:rsidRPr="00847CC5" w:rsidRDefault="00847CC5" w:rsidP="00847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847CC5" w:rsidRDefault="00847CC5" w:rsidP="00847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 21 апреля 2022 г. </w:t>
      </w:r>
      <w:r w:rsidR="00B65C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733</w:t>
      </w:r>
    </w:p>
    <w:p w:rsidR="00B65CA0" w:rsidRPr="00847CC5" w:rsidRDefault="00B65CA0" w:rsidP="00847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47CC5" w:rsidRPr="00B65CA0" w:rsidRDefault="00847CC5" w:rsidP="00B65CA0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B65CA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ИЗМЕНЕНИЯ,</w:t>
      </w:r>
      <w:r w:rsidR="00B65CA0" w:rsidRPr="00B65CA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65CA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КОТОРЫЕ ВНОСЯТСЯ В ПЕРЕЧЕНЬ МЕДИЦИНСКИХ ИЗДЕЛИЙ ОДНОРАЗОВОГО</w:t>
      </w:r>
      <w:r w:rsidR="00B65CA0" w:rsidRPr="00B65CA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65CA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ПРИМЕНЕНИЯ (ИСПОЛЬЗОВАНИЯ) ИЗ ПОЛИВИНИЛХЛОРИДНЫХ ПЛАСТИКОВ</w:t>
      </w:r>
      <w:r w:rsidR="00B65CA0" w:rsidRPr="00B65CA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65CA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И ИНЫХ ПЛАСТИКОВ, ПОЛИМЕРОВ И МАТЕРИАЛОВ, ПРОИСХОДЯЩИХ</w:t>
      </w:r>
      <w:r w:rsidR="00B65CA0" w:rsidRPr="00B65CA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65CA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ИЗ ИНОСТРАННЫХ ГОСУДАРСТВ, В ОТНОШЕНИИ КОТОРЫХ</w:t>
      </w:r>
      <w:r w:rsidR="00B65CA0" w:rsidRPr="00B65CA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65CA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УСТАНАВЛИВАЮТСЯ ОГРАНИЧЕНИЯ ДОПУСКА ДЛЯ ЦЕЛЕЙ</w:t>
      </w:r>
      <w:r w:rsidR="00B65CA0" w:rsidRPr="00B65CA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65CA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ОСУЩЕСТВЛЕНИЯ ЗАКУПОК ДЛЯ ОБЕСПЕЧЕНИЯ</w:t>
      </w:r>
      <w:r w:rsidR="00B65CA0" w:rsidRPr="00B65CA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65CA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ГОСУДАРСТВЕННЫХ И МУНИЦИПАЛЬНЫХ НУЖД</w:t>
      </w:r>
    </w:p>
    <w:p w:rsidR="00B65CA0" w:rsidRPr="00847CC5" w:rsidRDefault="00B65CA0" w:rsidP="00B65CA0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847CC5" w:rsidRPr="00847CC5" w:rsidRDefault="00847CC5" w:rsidP="00847C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5CA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Перечень медицинских </w:t>
      </w: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изделий одноразового применения (использования) из поливинилхлоридных пластиков и иных пластиков, полимеров и материалов,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изложить в следующей редакции:</w:t>
      </w:r>
    </w:p>
    <w:p w:rsidR="00847CC5" w:rsidRPr="00847CC5" w:rsidRDefault="00847CC5" w:rsidP="00847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"Утвержден</w:t>
      </w:r>
    </w:p>
    <w:p w:rsidR="00847CC5" w:rsidRPr="00847CC5" w:rsidRDefault="00847CC5" w:rsidP="00847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 Правительства</w:t>
      </w:r>
    </w:p>
    <w:p w:rsidR="00847CC5" w:rsidRPr="00847CC5" w:rsidRDefault="00847CC5" w:rsidP="00847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847CC5" w:rsidRPr="00847CC5" w:rsidRDefault="00847CC5" w:rsidP="00847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 5 февраля 2015 г. </w:t>
      </w:r>
      <w:r w:rsidR="00B65C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102</w:t>
      </w:r>
    </w:p>
    <w:p w:rsidR="00847CC5" w:rsidRPr="00847CC5" w:rsidRDefault="00847CC5" w:rsidP="00847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(в редакции постановления</w:t>
      </w:r>
      <w:proofErr w:type="gramEnd"/>
    </w:p>
    <w:p w:rsidR="00847CC5" w:rsidRPr="00847CC5" w:rsidRDefault="00847CC5" w:rsidP="00847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Правительства Российской Федерации</w:t>
      </w:r>
    </w:p>
    <w:p w:rsidR="00847CC5" w:rsidRPr="00847CC5" w:rsidRDefault="00847CC5" w:rsidP="00847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 21 апреля 2022 г. </w:t>
      </w:r>
      <w:r w:rsidR="00B65C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733)</w:t>
      </w:r>
    </w:p>
    <w:p w:rsidR="00B65CA0" w:rsidRDefault="00B65CA0" w:rsidP="0084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47CC5" w:rsidRPr="00B65CA0" w:rsidRDefault="00847CC5" w:rsidP="00B65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B65CA0" w:rsidRPr="00B6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ИЗДЕЛИЙ ОДНОРАЗОВОГО ПРИМЕНЕНИЯ (ИСПОЛЬЗОВАНИЯ)</w:t>
      </w:r>
      <w:r w:rsidR="00B65CA0" w:rsidRPr="00B6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ПОЛИВИНИЛХЛОРИДНЫХ ПЛАСТИКОВ И ИНЫХ ПЛАСТИКОВ, ПОЛИМЕРОВ</w:t>
      </w:r>
      <w:r w:rsidR="00B65CA0" w:rsidRPr="00B6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МАТЕРИАЛОВ, ПРОИСХОДЯЩИХ ИЗ ИНОСТРАННЫХ ГОСУДАРСТВ,</w:t>
      </w:r>
      <w:r w:rsidR="00B65CA0" w:rsidRPr="00B6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КОТОРЫХ УСТАНАВЛИВАЮТСЯ ОГРАНИЧЕНИЯ ДОПУСКА</w:t>
      </w:r>
      <w:r w:rsidR="00B65CA0" w:rsidRPr="00B6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ОСУЩЕСТВЛЕНИЯ ЗАКУПОК ДЛЯ ОБЕСПЕЧЕНИЯ</w:t>
      </w:r>
      <w:r w:rsidR="00B65CA0" w:rsidRPr="00B6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НУЖД</w:t>
      </w:r>
    </w:p>
    <w:tbl>
      <w:tblPr>
        <w:tblW w:w="92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377"/>
        <w:gridCol w:w="1985"/>
        <w:gridCol w:w="1984"/>
        <w:gridCol w:w="2268"/>
      </w:tblGrid>
      <w:tr w:rsidR="00847CC5" w:rsidRPr="00847CC5" w:rsidTr="00062535">
        <w:tc>
          <w:tcPr>
            <w:tcW w:w="3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медицинского изделия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в соответствии с Общероссийским классификатором продукции по видам экономической деятельности (ОКПД 2) </w:t>
            </w:r>
            <w:proofErr w:type="gramStart"/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proofErr w:type="gramEnd"/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034-2014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медицинского изделия &lt;*&gt;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Классификационные признаки медицинского изделия</w:t>
            </w:r>
          </w:p>
        </w:tc>
      </w:tr>
      <w:tr w:rsidR="00847CC5" w:rsidRPr="00847CC5" w:rsidTr="00847CC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 1. Устройства для переливания крови, компонентов крови, кровезаменителей и </w:t>
            </w:r>
            <w:proofErr w:type="spellStart"/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растворов</w:t>
            </w: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для переливания кровезаменителей и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(</w:t>
            </w:r>
            <w:proofErr w:type="gram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32.50.13.110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32.50.13.190</w:t>
            </w:r>
          </w:p>
          <w:p w:rsidR="00B65CA0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32.50.50.000 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&lt;**&gt;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(устройства, системы, комплект и т.п.) для переливания кровезаменителей и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растворов, для безопасного переливания пациенту кровезаменителей и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из полимерных и стеклянных емкостей (</w:t>
            </w:r>
            <w:proofErr w:type="gram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В набор </w:t>
            </w:r>
            <w:proofErr w:type="gram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входят магистрали (трубки), коннектор, одна полимерная или металлическая игла, капельно-фильтрующий узел, инъекционный узел, роликовый или барабанный регулятор скорости потока, инъекционная игла, а также при необходимости Y-порт, колпачок-заглушка и иные медицинские изделия и (или) комплектующие </w:t>
            </w: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регистрационному удостоверению. В наборы </w:t>
            </w:r>
            <w:proofErr w:type="gram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входит теплообменное устройство. Это изделия для одноразового использования</w:t>
            </w: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для переливания крови, компонентов крови и кровезаменителей (ПК)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32.50.13.110</w:t>
            </w:r>
          </w:p>
          <w:p w:rsidR="00847CC5" w:rsidRPr="00062535" w:rsidRDefault="00062535" w:rsidP="00062535">
            <w:pPr>
              <w:tabs>
                <w:tab w:val="left" w:pos="255"/>
                <w:tab w:val="center" w:pos="932"/>
              </w:tabs>
              <w:spacing w:before="21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847CC5"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32.50.13.190</w:t>
            </w:r>
          </w:p>
          <w:p w:rsidR="0006253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32.50.50.000 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&lt;**&gt;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(устройства, системы, комплект и т.п.) для переливания крови, компонентов крови и кровезаменителей для безопасного переливания пациенту крови и ее компонентов, кровезаменителей из полимерных и стеклянных емкостей (ПК). В набор ПК входят магистрали (трубки), коннектор, полимерная или металлическая игла, капельно-фильтрующий узел, инъекционный узел, регулятор скорости потока, инъекционная игла, а также при необходимости колпачок-заглушка и иные медицинские изделия и (или) комплектующие согласно регистрационному удостоверению (например, Y-порт и т.п.). В наборы ПК не входит теплообменное устройство. Это изделия для </w:t>
            </w: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одноразового использования</w:t>
            </w:r>
          </w:p>
        </w:tc>
      </w:tr>
      <w:tr w:rsidR="00847CC5" w:rsidRPr="00847CC5" w:rsidTr="00847CC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Контейнеры для заготовки, хранения и транспортировки донорской крови и ее компонентов</w:t>
            </w: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заготовки, хранения и транспортировки донорской крови и ее компонентов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32.50.13.190</w:t>
            </w:r>
          </w:p>
          <w:p w:rsidR="0006253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32.50.50.000 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&lt;**&gt;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32.50.50.180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144260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144270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144300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144320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145490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(набор, устройства, системы, комплект и т.п.) для заготовки, хранения и транспортировки донорской крови и ее компонентов, в том числе с лейкоцитарным фильтром, для получения цельной крови у донора и получения компонентов донорской крови в соответствии с Правилами заготовки, хранения, транспортировки и клинического использования донорской крови и ее компонентов. Изделия одноразового использования, стерильные</w:t>
            </w: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заготовки, хранения и транспортировки донорской крови и ее компонентов без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гемоконсервантов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однокамерные (общий объем контейнера -  500 мл -  1000 мл)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350020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(набор, устройства, системы, комплект и т.п.) однокамерные, без антикоагулянта и/или раствора консерванта крови, стерильные, в том числе предназначенные для отмывания клеток крови, с общим объемом контейнера -  500 мл -  1000 мл</w:t>
            </w:r>
            <w:proofErr w:type="gramEnd"/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заготовки, хранения и транспортировки донорской крови и ее компонентов без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гемоконсервантов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однокамерные (общий объем контейнера - &lt; 500 мл)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145490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(набор, устройства, системы, комплект и т.п.) однокамерные, без антикоагулянта и (или) раствора консерванта крови, стерильные, с общим объемом контейнера - &lt; 500 мл</w:t>
            </w:r>
            <w:proofErr w:type="gramEnd"/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заготовки, хранения и транспортировки донорской крови и ее компонентов без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гемоконсервантов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двухкамерные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145490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(набор, устройства, системы, комплект и т.п.) двухкамерные, без антикоагулянта и/или раствора консерванта крови, стерильные</w:t>
            </w:r>
            <w:proofErr w:type="gramEnd"/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заготовки, хранения и транспортировки донорской крови и ее компонентов с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гемоконсервантом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однокамерные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заготовки, хранения и транспортировки донорской крови и ее компонентов с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гемоконсервантом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двухкамерные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заготовки, хранения и транспортировки донорской крови и ее компонентов с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гемоконсервантом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трехкамерные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заготовки, хранения и транспортировки </w:t>
            </w: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донорской крови и ее компонентов с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гемоконсервантом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четырехкамерные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2.1.8.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заготовки, хранения и транспортировки донорской крови и ее компонентов</w:t>
            </w:r>
            <w:proofErr w:type="gram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гемоконсервантом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лейкоцитарным фильтром,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трехкамерные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заготовки, хранения и транспортировки донорской крови и ее компонентов, с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гемоконсервантом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лейкоцитарным фильтром, четырехкамерные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заготовки, хранения и транспортировки донорской крови и ее компонентов с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гемоконсервантом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конфигурацией контейнеров "верх/низ" (T&amp;B)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32.50.13.190</w:t>
            </w:r>
          </w:p>
          <w:p w:rsidR="0006253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32.50.50.000 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&lt;**&gt;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32.50.50.180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144320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(набор, устройства, системы, комплект и т.п.) для заготовки, хранения и транспортировки донорской крови и ее компонентов, в том числе с лейкоцитарным фильтром, для получения цельной крови у донора и получения компонентов донорской крови в соответствии с Правилами заготовки, хранения, транспортировки и клинического использования донорской крови и ее компонентов. Изделия </w:t>
            </w: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предназначены для заготовки компонентов крови с использованием автоматических экстракторов/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фракционаторов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состав медицинского изделия входит контейнер с конфигурацией "верх/низ" (T&amp;B) (расположение трубок (магистралей) "верх/низ"). Изделия одноразового использования, стерильные</w:t>
            </w: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заготовки, хранения и транспортировки донорской крови и ее компонентов, с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гемоконсервантом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конфигурацией контейнеров "верх/низ" (T&amp;B),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трехкамерные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заготовки, хранения и транспортировки донорской крови и ее компонентов, с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гемоконсервантом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конфигурация контейнеров "верх/низ" (T&amp;B), четырехкамерные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заготовки, хранения и транспортировки донорской крови и ее компонентов, с конфигурацией контейнеров "верх/низ" (T&amp;B), с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гемоконсервантом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лейкоцитарным фильтром,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трехкамерные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2.2.4.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для заготовки, хранения и транспортировки донорской крови и ее компонентов, с конфигурацией контейнеров "верх/низ" (T&amp;B), с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гемоконсервантом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лейкоцитарным фильтром, четырехкамерные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глубокой заморозки компонентов донорской крови (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криоконсервирования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32.50.13.190</w:t>
            </w:r>
          </w:p>
          <w:p w:rsidR="0006253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32.50.50.000 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&lt;**&gt;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32.50.50.180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145490 350020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(набор, устройства, системы, комплект и т.п.) однократного применения, стерильные, предназначенные для длительного хранения донорской крови, ее компонентов и тканей при сверхнизких температурах</w:t>
            </w:r>
          </w:p>
        </w:tc>
      </w:tr>
      <w:tr w:rsidR="00847CC5" w:rsidRPr="00847CC5" w:rsidTr="00847CC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Расходные материалы для аппаратов искусственной вентиляции легких и наркозно-дыхательных аппаратов</w:t>
            </w: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(набор, устройства, системы, комплект и т.п.) дыхательный для аппарата искусственной вентиляции легких и наркозно-дыхательного аппарата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32.50.13.190</w:t>
            </w:r>
          </w:p>
          <w:p w:rsidR="0006253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32.50.50.000 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&lt;**&gt;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32.50.50.190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32.50.13.150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32.50.21.120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32.50.21.121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32.50.21.122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32.50.21.123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32.50.21.129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185610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 дыхательный - это устройство (система, комплект, набор и т.п.), предназначенное для передачи воздуха или обогащенной кислородом газовой смеси или медицинских газов от источника газа (аппаратов искусственной </w:t>
            </w: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вентиляции легких и наркозно-дыхательных аппаратов) к пациенту. Состоит из дыхательных трубок (шлангов), комплектующих и принадлежностей. Может быть в антимикробном исполнении. Это изделие одноразового использования, нестерильное. В данный подраздел не входят:</w:t>
            </w:r>
          </w:p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дыхательный с диаметром трубок (шлангов)  10 мм;</w:t>
            </w:r>
          </w:p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дыхательный с встроенными нагревательными элементами (проводами/элементами нагрева);</w:t>
            </w:r>
          </w:p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дыхательный с коаксиальными трубками (шлангами)</w:t>
            </w: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дыхательный для наркозно-дыхательного аппарата (анестезиологический)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 (набор, устройства, системы, комплект и т.п.) дыхательный, предназначенный для передачи медицинских газов от наркозно-дыхательных аппаратов к пациенту, в том числе в антимикробном исполнении. Это изделие одноразового использования, </w:t>
            </w: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нестерильное</w:t>
            </w: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дыхательный для аппарата искусственной вентиляции легких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(набор, устройства, системы, комплект и т.п.) дыхательный, предназначенный для передачи воздуха или обогащенной кислородом газовой смеси от аппарата искусственной вентиляции легких к пациенту, в том числе в антимикробном исполнении. Это изделие одноразового использования, нестерильное</w:t>
            </w: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дыхательный (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тепловлагообменник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/бактериальный фильтр, бактериальный фильтр для медицинских газов)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32.50.13.190</w:t>
            </w:r>
          </w:p>
          <w:p w:rsidR="0006253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32.50.50.000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&lt;**&gt;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32.50.50.190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32.50.13.150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32.50.21.120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32.50.21.121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32.50.21.122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32.50.21.123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32.50.21.129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324650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дыхательный - это изделие, предназначенное для удаления микроорганизмов из медицинских газов, воздуха или обогащенной кислородом газовой смеси для предотвращения воздействия на пациента в процессе дыхания или анестезии. Фильтр помещен в пластиковый корпус и может также фильтровать другие мелкие частицы. Может содержать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тепловлагообменник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поддержания нормального состояния слизистых оболочек дыхательных путей </w:t>
            </w: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захвата образовавшегося в результате выдоха пациента тепла и влаги для их использования с целью нагрева и увлажнения терапевтических газов, вдыхаемых пациентом. Изделие выпускается в стерильном и нестерильном исполнениях. Это изделие одноразового использования.</w:t>
            </w:r>
          </w:p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данный подраздел не входят фильтры с внутренним объемом  15 куб. см (мл)</w:t>
            </w: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дыхательный (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тепловлагообменник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/бактериальный фильтр)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дыхательный, содержащий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тепловлагообменник</w:t>
            </w:r>
            <w:proofErr w:type="spellEnd"/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дыхательный (бактериальный для медицинских газов)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дыхательный, без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тепловлагообменника</w:t>
            </w:r>
            <w:proofErr w:type="spellEnd"/>
          </w:p>
        </w:tc>
      </w:tr>
      <w:tr w:rsidR="00847CC5" w:rsidRPr="00847CC5" w:rsidTr="00847CC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Расходные материалы для аппаратов </w:t>
            </w:r>
            <w:proofErr w:type="gram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донорского</w:t>
            </w:r>
            <w:proofErr w:type="gram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тромбоцитафереза</w:t>
            </w:r>
            <w:proofErr w:type="spellEnd"/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для сбора плазмы методом центрифугирования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32.50.13.190</w:t>
            </w:r>
          </w:p>
          <w:p w:rsidR="0006253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32.50.50.000 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&lt;**&gt;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32.50.50.180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262850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262870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(устройства, система, комплект и т.п.) расходных материалов для сбора, транспортировки и хранения плазмы методом центрифугирования к аппаратам для автоматического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афереза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однократного применения, стерильный</w:t>
            </w: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расходных материалов для сбора плазмы методом центрифугирования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262850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однокамерных контейнеров для </w:t>
            </w:r>
            <w:proofErr w:type="gram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донорского</w:t>
            </w:r>
            <w:proofErr w:type="gram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262870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двухкамерных контейнеров для </w:t>
            </w:r>
            <w:proofErr w:type="gram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донорского</w:t>
            </w:r>
            <w:proofErr w:type="gram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262870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трехкамерных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контейнеров для </w:t>
            </w:r>
            <w:proofErr w:type="gram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донорского</w:t>
            </w:r>
            <w:proofErr w:type="gram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262870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магистралей для аппарата донорского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расходных материалов для аппарата донорского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32.50.13.190</w:t>
            </w:r>
          </w:p>
          <w:p w:rsidR="0006253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32.50.50.000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&lt;**&gt;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32.50.50.180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262850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(устройства, система, комплект и т.п.) расходных материалов для сбора, транспортировки и хранения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тромбоцитного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концентрата методом центрифугирования к аппаратам для автоматического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афереза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однократного применения, стерильный</w:t>
            </w: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с </w:t>
            </w: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антикоагулянтом или раствором для консервирования компонентов крови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32.50.13.190</w:t>
            </w:r>
          </w:p>
          <w:p w:rsidR="0006253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32.50.50.000 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&lt;**&gt;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32.50.50.180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21.20.23.199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145450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145500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контейнер с </w:t>
            </w: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раствором, предназначенным для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антикоагуляции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для консервирования компонентов крови, не предназначенным для прямой внутривенной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инфузии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стерильный, однократного применения</w:t>
            </w:r>
            <w:proofErr w:type="gramEnd"/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4.3.1.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с антикоагулянтом для донорского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для консервирования компонентов крови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145450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145500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с антикоагулянтом цитрат натрия 4% </w:t>
            </w:r>
            <w:proofErr w:type="gram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донорского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145450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145500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с раствором антикоагулянта и/или консерванта </w:t>
            </w:r>
            <w:proofErr w:type="gram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донорского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145450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145500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с раствором антикоагулянта или консерванта, предназначенным для сбора и хранения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тромбоцитного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концентрата и не предназначенным для прямой </w:t>
            </w:r>
            <w:proofErr w:type="gram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внутривенной</w:t>
            </w:r>
            <w:proofErr w:type="gram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инфузии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Изделие однократного применения, стерильное.</w:t>
            </w:r>
          </w:p>
        </w:tc>
      </w:tr>
      <w:tr w:rsidR="00847CC5" w:rsidRPr="00847CC5" w:rsidTr="00847CC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Мочеприемники и калоприемники однокомпонентные</w:t>
            </w: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Калоприемники однокомпонентные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32.50.13.190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32.50.13.110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32.50.50.141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152450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калоприемники предназначены для реабилитации </w:t>
            </w: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пациентов при нарушениях функции выделения кала, при отдельных диагнозах, после проведения операций. Калоприемник однокомпонентный - это пластиковый мешок, разработанный для фиксации на коже пациента вокруг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использования в качестве емкости для сбора кишечных выделений после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колостомии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илеостомии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Дистальный конец мешка может открываться для удаления отходов (дренируемый, открытого типа) или дистальный конец мешка может быть закрытым, без возможности опорожнения содержимого (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закрытого типа). В данный подраздел входят калоприемники однокомпонентные, с плоской пластиной, с диаметром предварительного отверстия -  20 мм, с подложкой из нетканого материала. Это изделие для одноразового использования</w:t>
            </w: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5.1.1.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Калоприемник однокомпонентный закрытого типа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 однокомпонентный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недренируемый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фильтром</w:t>
            </w: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Калоприемник однокомпонентный открытого типа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калоприемник однокомпонентный дренируемый, с фильтром или без него</w:t>
            </w: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Мочеприемник однокомпонентный, не носимый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32.50.13.190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32.50.13.110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152470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152480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156370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мочеприемник предназначен для реабилитации при нарушениях естественного оттока мочи, после проведения операций, для использования при наличии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цистостомы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Гибкий пластиковый мешок, разработанный для подсоединения к мочевому катетеру или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уропрезервативу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сбора выделяемой пациентом мочи. Изделие не фиксируется на теле пациента (не </w:t>
            </w:r>
            <w:proofErr w:type="gram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носимый</w:t>
            </w:r>
            <w:proofErr w:type="gram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Мочеприемники бывают закрытыми и со сливным краном. Изделие выпускается с подложкой из нетканого материала или без нее, в стерильном и нестерильном исполнениях. Это изделие предназначено для одноразового использования</w:t>
            </w:r>
          </w:p>
        </w:tc>
      </w:tr>
      <w:tr w:rsidR="00847CC5" w:rsidRPr="00847CC5" w:rsidTr="0006253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Мочеприемник однокомпонентный, носимый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32.50.13.190</w:t>
            </w:r>
          </w:p>
          <w:p w:rsidR="00847CC5" w:rsidRPr="0006253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32.50.13.110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152430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156400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152430</w:t>
            </w:r>
          </w:p>
          <w:p w:rsidR="00847CC5" w:rsidRPr="00847CC5" w:rsidRDefault="00847CC5" w:rsidP="00847CC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47CC5" w:rsidRPr="00847CC5" w:rsidRDefault="00847CC5" w:rsidP="00847CC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мочеприемник предназначен для реабилитации при нарушениях естественного оттока мочи, после проведения операций, для использования при наличии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цистостомы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Гибкий пластиковый мешок, разработанный для подсоединения к мочевому катетеру или </w:t>
            </w:r>
            <w:proofErr w:type="spell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уропрезервативу</w:t>
            </w:r>
            <w:proofErr w:type="spell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сбора выделяемой пациентом мочи. </w:t>
            </w:r>
            <w:proofErr w:type="gramStart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фиксируется на теле пациента (носимый), в том числе самоклеящийся для младенцев (педиатрический).</w:t>
            </w:r>
            <w:proofErr w:type="gramEnd"/>
            <w:r w:rsidRPr="0084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Мочеприемники бывают закрытыми и со сливным краном. Изделие выпускается с подложкой из нетканого материала или без нее, в стерильном и нестерильном исполнениях. Это изделие предназначено для одноразового использования</w:t>
            </w:r>
          </w:p>
        </w:tc>
      </w:tr>
    </w:tbl>
    <w:p w:rsidR="00062535" w:rsidRDefault="00062535" w:rsidP="00847C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47CC5" w:rsidRPr="00847CC5" w:rsidRDefault="00847CC5" w:rsidP="00847C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Примечание. При применении настоящего перечня следует руководствоваться указанными в соответствующих подразделе и пункте данного перечня классификационными признаками медицинского изделия, применимыми к закупаемому медицинскому изделию, а также кодами Общероссийского </w:t>
      </w:r>
      <w:r w:rsidRPr="000625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классификатора </w:t>
      </w: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продукции по видам экономической деятельности (ОКПД 2) </w:t>
      </w:r>
      <w:proofErr w:type="gramStart"/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</w:t>
      </w:r>
      <w:proofErr w:type="gramEnd"/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034-2014 (КПЕС 2008) и (или) кодами вида медицинского изделия в соответствии с </w:t>
      </w: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номенклатурной классификацией медицинских изделий, утвержденной приказом Министерства здравоохранения Российской Федерации (НКМИ). Классификационные признаки медицинского изделия, указанные в каждом подразделе данного перечня, распространяются на все пункты данного подраздела. Для медицинских изделий, соответствующих классификационным признакам, указанным в настоящем перечне, допускается классификация </w:t>
      </w:r>
      <w:r w:rsidRPr="000625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кодами ОКПД 2, </w:t>
      </w: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указанными в применимом к продукции подразделе.</w:t>
      </w:r>
    </w:p>
    <w:p w:rsidR="00847CC5" w:rsidRPr="00847CC5" w:rsidRDefault="00847CC5" w:rsidP="00847CC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847CC5" w:rsidRPr="00847CC5" w:rsidRDefault="00847CC5" w:rsidP="00847CC5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&lt;*&gt; Код вида медицинского изделия указан в соответствии с номенклатурной классификацией медицинских изделий, утвержденной приказом Министерства здравоохранения Российской Федерации.</w:t>
      </w:r>
    </w:p>
    <w:p w:rsidR="00847CC5" w:rsidRPr="00847CC5" w:rsidRDefault="00847CC5" w:rsidP="00847CC5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&lt;**&gt; Код </w:t>
      </w:r>
      <w:r w:rsidRPr="000625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Общероссийского классификатора </w:t>
      </w:r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продукции по видам экономической деятельности (ОКПД 2) </w:t>
      </w:r>
      <w:proofErr w:type="gramStart"/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</w:t>
      </w:r>
      <w:proofErr w:type="gramEnd"/>
      <w:r w:rsidRPr="00847C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034-2014 (КПЕС 2008), которым классифицируются такие медицинские изделия, указанный в регистрационном удостоверении на медицинское изделие.".</w:t>
      </w:r>
    </w:p>
    <w:p w:rsidR="000D2CBB" w:rsidRPr="00847CC5" w:rsidRDefault="000D2CBB" w:rsidP="00847CC5"/>
    <w:sectPr w:rsidR="000D2CBB" w:rsidRPr="0084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1E"/>
    <w:rsid w:val="00062535"/>
    <w:rsid w:val="000D2CBB"/>
    <w:rsid w:val="006C3A1E"/>
    <w:rsid w:val="007B5B50"/>
    <w:rsid w:val="00847CC5"/>
    <w:rsid w:val="00B6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C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C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3A1E"/>
    <w:rPr>
      <w:color w:val="0000FF"/>
      <w:u w:val="single"/>
    </w:rPr>
  </w:style>
  <w:style w:type="paragraph" w:customStyle="1" w:styleId="s16">
    <w:name w:val="s_16"/>
    <w:basedOn w:val="a"/>
    <w:rsid w:val="006C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C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C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C3A1E"/>
  </w:style>
  <w:style w:type="paragraph" w:styleId="HTML">
    <w:name w:val="HTML Preformatted"/>
    <w:basedOn w:val="a"/>
    <w:link w:val="HTML0"/>
    <w:uiPriority w:val="99"/>
    <w:semiHidden/>
    <w:unhideWhenUsed/>
    <w:rsid w:val="006C3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3A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6C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84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4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84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84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C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C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3A1E"/>
    <w:rPr>
      <w:color w:val="0000FF"/>
      <w:u w:val="single"/>
    </w:rPr>
  </w:style>
  <w:style w:type="paragraph" w:customStyle="1" w:styleId="s16">
    <w:name w:val="s_16"/>
    <w:basedOn w:val="a"/>
    <w:rsid w:val="006C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C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C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C3A1E"/>
  </w:style>
  <w:style w:type="paragraph" w:styleId="HTML">
    <w:name w:val="HTML Preformatted"/>
    <w:basedOn w:val="a"/>
    <w:link w:val="HTML0"/>
    <w:uiPriority w:val="99"/>
    <w:semiHidden/>
    <w:unhideWhenUsed/>
    <w:rsid w:val="006C3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3A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6C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84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4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84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84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18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2022-04-27T04:41:00Z</dcterms:created>
  <dcterms:modified xsi:type="dcterms:W3CDTF">2022-04-27T07:59:00Z</dcterms:modified>
</cp:coreProperties>
</file>