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3FE6" w14:textId="3B0D1AB4" w:rsidR="00553B71" w:rsidRPr="00553B71" w:rsidRDefault="00553B71" w:rsidP="00553B71">
      <w:pPr>
        <w:pStyle w:val="a4"/>
        <w:ind w:firstLine="709"/>
        <w:contextualSpacing/>
        <w:jc w:val="center"/>
        <w:textAlignment w:val="baseline"/>
        <w:rPr>
          <w:b/>
        </w:rPr>
      </w:pPr>
      <w:r w:rsidRPr="00553B71">
        <w:rPr>
          <w:b/>
        </w:rPr>
        <w:t>Разъяснение Союза Инженеров-Сметчиков</w:t>
      </w:r>
    </w:p>
    <w:p w14:paraId="2E9591F4" w14:textId="00C635CC" w:rsidR="00553B71" w:rsidRPr="00553B71" w:rsidRDefault="00553B71" w:rsidP="00553B71">
      <w:pPr>
        <w:pStyle w:val="a4"/>
        <w:ind w:firstLine="709"/>
        <w:contextualSpacing/>
        <w:jc w:val="center"/>
        <w:textAlignment w:val="baseline"/>
        <w:rPr>
          <w:b/>
        </w:rPr>
      </w:pPr>
      <w:r w:rsidRPr="00553B71">
        <w:rPr>
          <w:b/>
        </w:rPr>
        <w:t>от 04.09.2022</w:t>
      </w:r>
    </w:p>
    <w:p w14:paraId="48FA4C4F" w14:textId="3858DB73" w:rsidR="00553B71" w:rsidRDefault="00553B71" w:rsidP="00553B71">
      <w:pPr>
        <w:pStyle w:val="a4"/>
        <w:ind w:firstLine="709"/>
        <w:contextualSpacing/>
        <w:jc w:val="center"/>
        <w:textAlignment w:val="baseline"/>
        <w:rPr>
          <w:b/>
        </w:rPr>
      </w:pPr>
      <w:r w:rsidRPr="00553B71">
        <w:rPr>
          <w:b/>
        </w:rPr>
        <w:t>"О замене материалов по смете в процессе исполнения государственного (муниципального) контракта"</w:t>
      </w:r>
    </w:p>
    <w:p w14:paraId="43E79076" w14:textId="77777777" w:rsidR="00553B71" w:rsidRPr="00553B71" w:rsidRDefault="00553B71" w:rsidP="00553B71">
      <w:pPr>
        <w:pStyle w:val="a4"/>
        <w:ind w:firstLine="709"/>
        <w:contextualSpacing/>
        <w:jc w:val="center"/>
        <w:textAlignment w:val="baseline"/>
        <w:rPr>
          <w:b/>
        </w:rPr>
      </w:pPr>
      <w:bookmarkStart w:id="0" w:name="_GoBack"/>
      <w:bookmarkEnd w:id="0"/>
    </w:p>
    <w:p w14:paraId="2D1E1DE1" w14:textId="2FA4310B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Если в процессе исполнения государственного (муниципального) контракта возникла </w:t>
      </w:r>
      <w:proofErr w:type="gramStart"/>
      <w:r w:rsidRPr="00553B71">
        <w:t>необходимость замены материалов</w:t>
      </w:r>
      <w:proofErr w:type="gramEnd"/>
      <w:r w:rsidRPr="00553B71">
        <w:t xml:space="preserve"> учтенных сметной документацией (в том числе сметными нормативами), Союз инженеров-сметчиков рекомендует руководствоваться СЛЕДУЮЩИМ: </w:t>
      </w:r>
    </w:p>
    <w:p w14:paraId="776D194D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1. Любая замена материалов не должна приводить к изменению состава и видов соответствующих работ по контракту. </w:t>
      </w:r>
    </w:p>
    <w:p w14:paraId="2F7093A3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>2. Если технические и функциональные характеристики конкретных материалов установлены в технической части заявки, техническом задании в составе конкурсной документации, в том числе в форме «Сведения о качестве, технических характеристиках товара, его безопасности, функциональных характеристиках товара», то при замене таких материалов следует руководствоваться положениями ч. 7 ст. 95 Закона о контрактной системе с учетом следующих положений:</w:t>
      </w:r>
    </w:p>
    <w:p w14:paraId="0CDCA704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 - по согласованию заказчика с подрядчиком допускается замена на материалы,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 </w:t>
      </w:r>
    </w:p>
    <w:p w14:paraId="07FFECEB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>- такое изменение оформляется путем подписания дополнительного соглашения к контракту (при согласии заказчика) и подлежит отражению в реестре контрактов.</w:t>
      </w:r>
    </w:p>
    <w:p w14:paraId="0030AA26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 - замена материалов производится без изменения установленной цены контракта. В случае замены материалов на улучшенные цена контракта не может быть изменена. </w:t>
      </w:r>
    </w:p>
    <w:p w14:paraId="65FC1ED0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>- изменять условия контракта в части материалов, качество, а также технические и функциональные характеристики которых аналогичные или ухудшенные, недопустимо (прим. Письмо Минэкономразвития России от 30.05.2016 № Д28и-1402 и др.).</w:t>
      </w:r>
    </w:p>
    <w:p w14:paraId="1436F572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 - возможность предложить материалы, изделия и конструкции (оборудование),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 предусмотрена только после заключения контракта на этапе его исполнения. </w:t>
      </w:r>
    </w:p>
    <w:p w14:paraId="1B72DD26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3. По остальным материалам, входящим в состав соответствующих сметных норм по смете (ГЭСН, ФЕР, ТЕР) и разработанных на основе принципов усреднения, минимальной необходимости и достаточности, исполнитель работ (подрядчик) вправе самостоятельно 2 https://smetnoedelo.ru определить их номенклатуру и количество исходя из технологии производства работ и производственных норм. При этом сами принятые сметные нормы (расценки) по смете корректировке не подлежат. </w:t>
      </w:r>
    </w:p>
    <w:p w14:paraId="209AC044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Общий принцип - разделяем материалы, относящиеся к условиям контракта и технологические материалы, замена которых не меняет принципиально технологию и состав вида работ и не приводит к снижению их качества. </w:t>
      </w:r>
    </w:p>
    <w:p w14:paraId="6BCEB2CA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Также следует учесть, что если заказчик в документации о закупке установил технические и функциональные характеристики ВСЕХ МАТЕРИАЛОВ по смете, то замена материалов возможна только с соблюдением положений ч. 7 ст. 95 Закона о контрактной системе. </w:t>
      </w:r>
    </w:p>
    <w:p w14:paraId="73ADD129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>По мнению Союза инженеров-сметчиков это представляется излишним, а рекомендации для заказчиков приведены в разъяснении Союза "О ФОРМИРОВАНИИ ПЕРЕЧНЯ СТРОИТЕЛЬНЫХ МАТЕРИАЛОВ В КОНКУРСНОЙ ДОКУМЕНТАЦИИ".</w:t>
      </w:r>
    </w:p>
    <w:p w14:paraId="6E3E13BE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</w:pPr>
      <w:r w:rsidRPr="00553B71">
        <w:t xml:space="preserve"> Президент Союза П.В. Горячкин </w:t>
      </w:r>
    </w:p>
    <w:p w14:paraId="5E8857FB" w14:textId="77777777" w:rsidR="00553B71" w:rsidRPr="00553B71" w:rsidRDefault="00553B71" w:rsidP="00553B71">
      <w:pPr>
        <w:pStyle w:val="a4"/>
        <w:ind w:firstLine="709"/>
        <w:contextualSpacing/>
        <w:jc w:val="both"/>
        <w:textAlignment w:val="baseline"/>
        <w:rPr>
          <w:rFonts w:ascii="proxima_nova" w:hAnsi="proxima_nova"/>
          <w:color w:val="333333"/>
        </w:rPr>
      </w:pPr>
      <w:r w:rsidRPr="00553B71">
        <w:t xml:space="preserve">Пример из судебной практики: Дело о неосновательном обогащении по результатам контрольной проверки. «Суд установил, что к разнице в стоимости выполненных работ </w:t>
      </w:r>
      <w:r w:rsidRPr="00553B71">
        <w:lastRenderedPageBreak/>
        <w:t>привели несогласованные с заказчиком в установленном порядке действия подрядчика, повлекшие несоответствие фактически примененного строительного материала тому, который предусмотрен проектно-сметной документацией (подрядчик вместо полнотелого одинарного кирпича размером 250х120х65, использовал утолщенный пустотелый кирпич размером 250х120х130, качество, технические и функциональные характеристики которого не являются улучшенными). С учетом изложенного, судебные инстанции правомерно взыскали с подрядчика ... рублей неосновательного обогащения». (Из Постановления Арбитражного суда Северо-Кавказского округа от 4 сентября 2018 г. по делу № А15-6050/2017).</w:t>
      </w:r>
    </w:p>
    <w:p w14:paraId="3DA5A562" w14:textId="77777777" w:rsidR="00544CE2" w:rsidRPr="00553B71" w:rsidRDefault="00544CE2" w:rsidP="00553B71">
      <w:pPr>
        <w:spacing w:line="240" w:lineRule="auto"/>
        <w:ind w:firstLine="709"/>
        <w:contextualSpacing/>
        <w:jc w:val="both"/>
        <w:rPr>
          <w:sz w:val="24"/>
          <w:szCs w:val="24"/>
        </w:rPr>
      </w:pPr>
    </w:p>
    <w:sectPr w:rsidR="00544CE2" w:rsidRPr="0055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_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553B71"/>
    <w:rsid w:val="006146DA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2022-10-24T14:16:00Z</dcterms:created>
  <dcterms:modified xsi:type="dcterms:W3CDTF">2022-10-24T14:16:00Z</dcterms:modified>
</cp:coreProperties>
</file>