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405" w:firstLineChars="583"/>
        <w:jc w:val="center"/>
        <w:rPr>
          <w:rFonts w:hint="default" w:ascii="Times New Roman" w:hAnsi="Times New Roman"/>
          <w:b/>
          <w:bCs/>
          <w:color w:val="auto"/>
          <w:sz w:val="24"/>
          <w:szCs w:val="24"/>
        </w:rPr>
      </w:pPr>
      <w:r>
        <w:rPr>
          <w:rFonts w:hint="default" w:ascii="Times New Roman" w:hAnsi="Times New Roman"/>
          <w:b/>
          <w:bCs/>
          <w:color w:val="auto"/>
          <w:sz w:val="24"/>
          <w:szCs w:val="24"/>
        </w:rPr>
        <w:t>МИНИСТЕРСТВО ФИНАНСОВ РОССИЙСКОЙ ФЕДЕРАЦИИ</w:t>
      </w:r>
    </w:p>
    <w:p>
      <w:pPr>
        <w:ind w:left="0" w:leftChars="0" w:firstLine="1405" w:firstLineChars="583"/>
        <w:jc w:val="center"/>
        <w:rPr>
          <w:rFonts w:hint="default" w:ascii="Times New Roman" w:hAnsi="Times New Roman"/>
          <w:b/>
          <w:bCs/>
          <w:color w:val="auto"/>
          <w:sz w:val="24"/>
          <w:szCs w:val="24"/>
        </w:rPr>
      </w:pPr>
    </w:p>
    <w:p>
      <w:pPr>
        <w:ind w:left="0" w:leftChars="0" w:firstLine="1405" w:firstLineChars="583"/>
        <w:jc w:val="center"/>
        <w:rPr>
          <w:rFonts w:hint="default" w:ascii="Times New Roman" w:hAnsi="Times New Roman"/>
          <w:b/>
          <w:bCs/>
          <w:color w:val="auto"/>
          <w:sz w:val="24"/>
          <w:szCs w:val="24"/>
        </w:rPr>
      </w:pPr>
      <w:r>
        <w:rPr>
          <w:rFonts w:hint="default" w:ascii="Times New Roman" w:hAnsi="Times New Roman"/>
          <w:b/>
          <w:bCs/>
          <w:color w:val="auto"/>
          <w:sz w:val="24"/>
          <w:szCs w:val="24"/>
        </w:rPr>
        <w:t>ПИСЬМО</w:t>
      </w:r>
    </w:p>
    <w:p>
      <w:pPr>
        <w:ind w:left="0" w:leftChars="0" w:firstLine="1405" w:firstLineChars="583"/>
        <w:jc w:val="center"/>
        <w:rPr>
          <w:rFonts w:hint="default" w:ascii="Times New Roman" w:hAnsi="Times New Roman"/>
          <w:b/>
          <w:bCs/>
          <w:color w:val="auto"/>
          <w:sz w:val="24"/>
          <w:szCs w:val="24"/>
        </w:rPr>
      </w:pPr>
      <w:r>
        <w:rPr>
          <w:rFonts w:hint="default" w:ascii="Times New Roman" w:hAnsi="Times New Roman"/>
          <w:b/>
          <w:bCs/>
          <w:color w:val="auto"/>
          <w:sz w:val="24"/>
          <w:szCs w:val="24"/>
        </w:rPr>
        <w:t xml:space="preserve">от 11 мая 2023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rPr>
        <w:t xml:space="preserve"> 24-06-09/42427</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Департамент бюджетной политики в сфере контрактной системы Минфина России (далее - Департамент), рассмотрев обращение, направленное посредством электронной почты, от 16.04.2023 по вопросу о применении отдельных положений Федерального закона от 05.04.2013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сообщает следующее.</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Положениями пунктов 11.8 и 12.5 Регламента Министерства финансов Российской Федерации, утвержденного приказом Минфина России от 14.09.2018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Кроме того, в Минфине России, если законодательством Российской Федерации не установлено иное, не рассматриваются по существу обращения по оценке конкретных хозяйственных ситуаций.</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Вместе с тем Департамент в рамках установленной компетенции считает возможным сообщить следующее.</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В отношении определения и обоснования начальной (максимальной) цены контракта отмечаем следующее.</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Частью 1 статьи 18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установлено, что в целях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обоснованной признается закупка, осуществляемая в соответствии с положениями статей 19 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Так, согласно статье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начальная (максимальная) цена контракта и в предусмотренных Законом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случаях цена контракта, заключаемого с единственным поставщиком (подрядчиком, исполнителем) (далее - НМЦК), определяются и обосновываются заказчиком посредством применения методов, перечисленных в части 1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bookmarkStart w:id="0" w:name="_GoBack"/>
      <w:bookmarkEnd w:id="0"/>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При этом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частями 7 - 10 указанной статьи (часть 6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В случае невозможности применения для определения НМЦК методов, указанных в части 1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заказчик вправе применить иные методы. В этом случае в обоснование НМЦК заказчик обязан включить обоснование невозможности применения указанных методов (часть 12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Применение иных методов для расчета НМЦК не должно противоречить положениям законодательства в сфере контрактной системы.</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Законом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При этом в случаях, предусмотренных пунктами 3, 6, 11, 12, 16, 18, 19, 22, 23, 30 - 35, 37 - 41, 46 и 49 части 1 статьи 93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заказчик обосновывает такую цену в соответствии с Законом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и включает в контракт обоснование цены контракта.</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Учитывая изложенное, цена контракта, заключаемого с единственным поставщиком (подрядчиком, исполнителем) на основании пунктов 4, 5 части 1 статьи 93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определяется в соответствии положениями статьи 22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при этом обязанность включения в контракт обоснования такой цены отсутствует.</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Обращаем внимание, что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(статья 34 Бюджетного кодекса Российской Федерации).</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По вопросу порядка начисления пеней по контракту сообщаем, что в соответствии с частью 4 статьи 34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Так, частью 6 статьи 34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установлено, что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Указанная норма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является нормой прямого действия и подлежит применению независимо от установленных условий контракта.</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Таким образом, в случае неисполнения или ненадлежащего исполнения поставщиком (подрядчиком, исполнителем) обязательств, предусмотренных контрактом, заказчик обязан направить поставщику (подрядчику, исполнителю) требование об уплате неустоек (штрафов, пеней).</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 xml:space="preserve">Частью 7 статьи 34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установлено, что пени начисляются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устанавливаются контрактом в размере одной трехсотой действующей на дату уплаты пеней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пеней.</w:t>
      </w:r>
    </w:p>
    <w:p>
      <w:pPr>
        <w:ind w:left="0" w:leftChars="0" w:firstLine="1399" w:firstLineChars="583"/>
        <w:jc w:val="both"/>
        <w:rPr>
          <w:rFonts w:hint="default" w:ascii="Times New Roman" w:hAnsi="Times New Roman"/>
          <w:color w:val="auto"/>
          <w:sz w:val="24"/>
          <w:szCs w:val="24"/>
        </w:rPr>
      </w:pPr>
      <w:r>
        <w:rPr>
          <w:rFonts w:hint="default" w:ascii="Times New Roman" w:hAnsi="Times New Roman"/>
          <w:color w:val="auto"/>
          <w:sz w:val="24"/>
          <w:szCs w:val="24"/>
        </w:rPr>
        <w:t>Таким образом, пени начисляются начиная со дня, следующего после дня истечения установленного контрактом срока исполнения обязательства, при этом при расчете размера данных пеней используется ключевая ставка Центрального банка Российской Федерации, действующая на дату уплаты пеней.</w:t>
      </w:r>
    </w:p>
    <w:p>
      <w:pPr>
        <w:ind w:left="0" w:leftChars="0" w:firstLine="1399" w:firstLineChars="583"/>
        <w:jc w:val="right"/>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1399" w:firstLineChars="583"/>
        <w:jc w:val="right"/>
        <w:rPr>
          <w:rFonts w:hint="default" w:ascii="Times New Roman" w:hAnsi="Times New Roman"/>
          <w:color w:val="auto"/>
          <w:sz w:val="24"/>
          <w:szCs w:val="24"/>
        </w:rPr>
      </w:pPr>
      <w:r>
        <w:rPr>
          <w:rFonts w:hint="default" w:ascii="Times New Roman" w:hAnsi="Times New Roman"/>
          <w:color w:val="auto"/>
          <w:sz w:val="24"/>
          <w:szCs w:val="24"/>
        </w:rPr>
        <w:t>Заместитель директора Департамента</w:t>
      </w:r>
    </w:p>
    <w:p>
      <w:pPr>
        <w:ind w:left="0" w:leftChars="0" w:firstLine="1399" w:firstLineChars="583"/>
        <w:jc w:val="right"/>
        <w:rPr>
          <w:rFonts w:hint="default" w:ascii="Times New Roman" w:hAnsi="Times New Roman"/>
          <w:color w:val="auto"/>
          <w:sz w:val="24"/>
          <w:szCs w:val="24"/>
        </w:rPr>
      </w:pPr>
      <w:r>
        <w:rPr>
          <w:rFonts w:hint="default" w:ascii="Times New Roman" w:hAnsi="Times New Roman"/>
          <w:color w:val="auto"/>
          <w:sz w:val="24"/>
          <w:szCs w:val="24"/>
        </w:rPr>
        <w:t>Д.А.ГОТОВЦЕВ</w:t>
      </w:r>
    </w:p>
    <w:p>
      <w:pPr>
        <w:ind w:left="0" w:leftChars="0" w:firstLine="1399" w:firstLineChars="583"/>
        <w:jc w:val="right"/>
        <w:rPr>
          <w:rFonts w:hint="default" w:ascii="Times New Roman" w:hAnsi="Times New Roman"/>
          <w:color w:val="auto"/>
          <w:sz w:val="24"/>
          <w:szCs w:val="24"/>
        </w:rPr>
      </w:pPr>
      <w:r>
        <w:rPr>
          <w:rFonts w:hint="default" w:ascii="Times New Roman" w:hAnsi="Times New Roman"/>
          <w:color w:val="auto"/>
          <w:sz w:val="24"/>
          <w:szCs w:val="24"/>
        </w:rPr>
        <w:t>11.05.2023</w:t>
      </w:r>
    </w:p>
    <w:p>
      <w:pPr>
        <w:ind w:left="0" w:leftChars="0" w:firstLine="1399" w:firstLineChars="583"/>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70B06"/>
    <w:rsid w:val="2CE7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2023-05-29T08:20:00Z</dcterms:created>
  <dc:creator>rahma</dc:creator>
  <cp:lastModifiedBy>rahma</cp:lastModifiedBy>
  <dcterms:modified xsi:type="dcterms:W3CDTF">2023-05-29T08:45:43Z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4A538E1485064087876B365130BFDE79</vt:lpwstr>
  </property>
</Properties>
</file>