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48" w:rsidRPr="001F0A48" w:rsidRDefault="001F0A48" w:rsidP="001F0A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промышленности и торговли Российской Федерации от 24 мая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F0A48">
        <w:rPr>
          <w:rFonts w:ascii="Times New Roman" w:hAnsi="Times New Roman" w:cs="Times New Roman"/>
          <w:b/>
          <w:sz w:val="24"/>
          <w:szCs w:val="24"/>
        </w:rPr>
        <w:t xml:space="preserve"> 2276  "Об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подпунктом "а" пункта 3 постановления Правительства Российской № 616, и положения об отраслевых экспертных советах при Министерстве промышленности и торговли Российской Федерации"</w:t>
      </w:r>
      <w:proofErr w:type="gramEnd"/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"б" пункта 15 постановления Правительства Российской Федерации от 30 апреля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безопасности государства" приказываю: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1. Утвердить: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подпунктом "а" пункта 3 постановления Правительства Российской Федерации от 30 апреля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, работ (услуг), выполняемых (оказываемых) иностранными лицами, для целей осуществления закупок для нужд обороны страны и безопасности государства",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1 к настоящему приказу;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Положение об отраслевых экспертных советах при Министерстве промышленности и торговли Российской Федерации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Министерства промышленности и торговли Российской Федерации от 29 мая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1755 "Об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положения об отраслевых экспертных советах при Министерстве промышленности и торговли Российской Федерации, порядка формирования и ведения реестра российской промышленной продукции, включая порядок предоставления выписки из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него и ее форму, порядка формирования и ведения реестра евразийской промышленной продукции, включая порядок предоставления выписки из него и ее форму" (зарегистрирован Министерством юстиции Российской Федерации 29 июня 2020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58798).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первого заместителя Министра промышленности и торговли Российской Федерации B.C. Осьмакова.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lastRenderedPageBreak/>
        <w:t>4. Настоящий приказ вступает в силу с 1 июля 2024 г.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Министр</w:t>
      </w: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А.А. Алиханов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Зарегистрировано в Минюсте России 28 июня 2024 г.</w:t>
      </w: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78706</w:t>
      </w: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от 24.05.2024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2276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4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F0A48" w:rsidRPr="001F0A48" w:rsidRDefault="001F0A48" w:rsidP="001F0A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b/>
          <w:sz w:val="24"/>
          <w:szCs w:val="24"/>
        </w:rPr>
        <w:t>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подпунктом "а" пункта 3 постановления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</w:t>
      </w:r>
      <w:proofErr w:type="gramEnd"/>
      <w:r w:rsidRPr="001F0A48">
        <w:rPr>
          <w:rFonts w:ascii="Times New Roman" w:hAnsi="Times New Roman" w:cs="Times New Roman"/>
          <w:b/>
          <w:sz w:val="24"/>
          <w:szCs w:val="24"/>
        </w:rPr>
        <w:t xml:space="preserve"> (услуг), выполняемых (оказываемых) иностранными лицами, для целей осуществления закупок для нужд обороны страны и безопасности государства"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Разрешение на закупку происходящего из иностранного государства промышленного товара, предусмотренного подпунктом "а" пункта 3 постановления Правительства Российской Федерации от 30 апреля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осуществления закупок </w:t>
      </w:r>
      <w:r w:rsidRPr="001F0A48">
        <w:rPr>
          <w:rFonts w:ascii="Times New Roman" w:hAnsi="Times New Roman" w:cs="Times New Roman"/>
          <w:sz w:val="24"/>
          <w:szCs w:val="24"/>
        </w:rPr>
        <w:lastRenderedPageBreak/>
        <w:t xml:space="preserve">для нужд обороны страны и безопасности государства", выдается Министерством промышленности и торговли Российской Федерации по обращению заказчиков (далее соответственно - разрешение,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616 и заявитель).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2. Разрешение выдается в отношении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нужд, предусмотренных перечнем согласно приложению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616.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3. Заявитель подает в Министерство промышленности и торговли Российской Федерации заявку о выдаче разрешения (далее - заявка) с использованием государственной информационной системы промышленности, функционирующей в соответствии с постановлением Правительства Российской Федерации от 25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757 "О порядке создания, эксплуатации и совершенствования государственной информационной системы промышленности".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При подаче заявки заявителю необходимо определить уполномоченное лицо, ответственное за подачу заявки и доступ к информации, содержащейся в государственной информационной системе промышленности (далее - представитель заявителя).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Заявка в электронной форме заполняется представителем заявителя в личном кабинете государственной информационной системы промышленности на сайте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gisp.gov.ru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сайт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gisp.gov.ru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>) и подписывается руководителем (иным уполномоченным лицом) заявителя усиленной квалифицированной электронной подписью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Федерации от 25 августа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(далее - квалифицированная подпись).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5. В заявке указываются: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sz w:val="24"/>
          <w:szCs w:val="24"/>
        </w:rPr>
        <w:t>а) информация о заявителе (адрес в пределах места нахождения, контактная информация для связи (телефон, адрес электронной почты (при наличии);</w:t>
      </w:r>
      <w:proofErr w:type="gramEnd"/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б) информация о планируемом к закупке происходящем из иностранного государства промышленном товаре, в отношении которого запрашивается разрешение (наименование, коды в соответствии с Общероссийским классификатором продукции по видам экономической деятельности и единой Товарной номенклатурой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80 "Об </w:t>
      </w:r>
      <w:r w:rsidRPr="001F0A48">
        <w:rPr>
          <w:rFonts w:ascii="Times New Roman" w:hAnsi="Times New Roman" w:cs="Times New Roman"/>
          <w:sz w:val="24"/>
          <w:szCs w:val="24"/>
        </w:rPr>
        <w:lastRenderedPageBreak/>
        <w:t>утверждении единой Товарной номенклатуры внешнеэкономической деятельности Евразийского экономического союза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 (вступило в силу 1 января 2022 г.) </w:t>
      </w:r>
      <w:r w:rsidR="00B31A46" w:rsidRPr="00B31A46">
        <w:rPr>
          <w:rFonts w:ascii="Times New Roman" w:hAnsi="Times New Roman" w:cs="Times New Roman"/>
          <w:sz w:val="24"/>
          <w:szCs w:val="24"/>
        </w:rPr>
        <w:t>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 г. № 279-ФЗ "О ратификации Договора о Евразийском</w:t>
      </w:r>
      <w:proofErr w:type="gramEnd"/>
      <w:r w:rsidR="00B31A46" w:rsidRPr="00B31A46">
        <w:rPr>
          <w:rFonts w:ascii="Times New Roman" w:hAnsi="Times New Roman" w:cs="Times New Roman"/>
          <w:sz w:val="24"/>
          <w:szCs w:val="24"/>
        </w:rPr>
        <w:t xml:space="preserve"> экономическом </w:t>
      </w:r>
      <w:proofErr w:type="gramStart"/>
      <w:r w:rsidR="00B31A46" w:rsidRPr="00B31A46">
        <w:rPr>
          <w:rFonts w:ascii="Times New Roman" w:hAnsi="Times New Roman" w:cs="Times New Roman"/>
          <w:sz w:val="24"/>
          <w:szCs w:val="24"/>
        </w:rPr>
        <w:t>союзе</w:t>
      </w:r>
      <w:proofErr w:type="gramEnd"/>
      <w:r w:rsidR="00B31A46" w:rsidRPr="00B31A46">
        <w:rPr>
          <w:rFonts w:ascii="Times New Roman" w:hAnsi="Times New Roman" w:cs="Times New Roman"/>
          <w:sz w:val="24"/>
          <w:szCs w:val="24"/>
        </w:rPr>
        <w:t>" (вступил в силу для Российской Федерации 1 января 2015 г.)</w:t>
      </w:r>
      <w:r w:rsidRPr="001F0A48">
        <w:rPr>
          <w:rFonts w:ascii="Times New Roman" w:hAnsi="Times New Roman" w:cs="Times New Roman"/>
          <w:sz w:val="24"/>
          <w:szCs w:val="24"/>
        </w:rPr>
        <w:t xml:space="preserve"> (далее соответственно - ТН ВЭД ЕАЭС, товар);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sz w:val="24"/>
          <w:szCs w:val="24"/>
        </w:rPr>
        <w:t>в) сведения о технических характеристиках товара, касающиеся функционального назначения или перечня выполняемых функций, области применения, качественных характеристик оборудования, а также стоимостных характеристиках закупаемого товара, в том числе одной единицы товара и совокупности таких товаров, для определения отличий характеристик заявленного товара от характеристик производимого в Российской Федерации товара;</w:t>
      </w:r>
      <w:proofErr w:type="gramEnd"/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г) информация об источниках финансирования закупки товара;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>) планируемый срок проведения закупки товара;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е) информация об инвестиционном, национальном и федеральном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(программах), в случае, если товар закупается в рамках указанных проектов (программ).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6. Заявка заполняется отдельно на каждый товар, в отношении которого запрашивается разрешение. Заявка не должна содержать сведения, составляющие государственную тайну в соответствии с Законом Российской Федерации от 21 июля 1993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5485-1 "О государственной тайне".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7. Заявитель информируется о ходе рассмотрения заявки путем получения сообщений на странице личного кабинета государственной информационной системы промышленности на сайте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gisp.gov.ru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 xml:space="preserve"> и (или) по электронной почте.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8. Заявка в зависимости от отраслевой принадлежности заявленного товара направляется в одно из структурных подразделений Министерства промышленности и торговли Российской Федерации согласно сферам ведения (далее - ответствен</w:t>
      </w:r>
      <w:r w:rsidR="00B31A46">
        <w:rPr>
          <w:rFonts w:ascii="Times New Roman" w:hAnsi="Times New Roman" w:cs="Times New Roman"/>
          <w:sz w:val="24"/>
          <w:szCs w:val="24"/>
        </w:rPr>
        <w:t>ное структурное подразделение).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9. Ответственное структурное подразделение в течение 5 рабочих дней со дня получения заявки в соответствии с пунктом 8 настоящего порядка осуществляет проверку заявки на соответствие требованиям, предусмотренным пунктом 5 настоящего порядка.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 случае если выявлено, что заявка представлена с нарушением требований пункта 5 настоящего порядка, ответственное структурное подразделение отклоняет ее и в течение 1 рабочего дня со дня завершения проверки, предусмотренной абзацем первым настоящего пункта, возвращает заявку на доработку с указанием причины возврата.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lastRenderedPageBreak/>
        <w:t>10. Отклоненная заявка дорабатывается заявителем по замечаниям в течение 15 рабочих дней со дня возврата заявки на доработку в соответствии с абзацем вторым пункта 9 настоящего порядка и посредством государственной информационной системы промышленности направляется повторно на рассмотрение в ответственное структурное подразделение, которое осуществляет проверку доработанной заявки согласно пункту 9 настоящего порядка.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В случае соответствия заявки требованиям пункта 5 настоящего порядка ответственное структурное подразделение в течение 1 рабочего дня со дня завершения проверки, предусмотренной пунктом 9 настоящего порядка, посредством государственной информационной системы промышленности осуществляет сравнение характеристик товара с характеристиками товара, находящегося в реестре российской промышленной продукции, а также (по решению ответственного структурного подразделения) - в евразийском реестре промышленных товаров государств - членов Евразийского экономического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союза, порядок формирования и ведения которого определен Решением Совета Евразийской экономической комиссии от 23 ноября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(вступило в силу 12 января 2021 г.) </w:t>
      </w:r>
      <w:r w:rsidR="00B31A46" w:rsidRPr="001F0A48">
        <w:rPr>
          <w:rFonts w:ascii="Times New Roman" w:hAnsi="Times New Roman" w:cs="Times New Roman"/>
          <w:sz w:val="24"/>
          <w:szCs w:val="24"/>
        </w:rPr>
        <w:t>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</w:t>
      </w:r>
      <w:proofErr w:type="gramEnd"/>
      <w:r w:rsidR="00B31A46" w:rsidRPr="001F0A48">
        <w:rPr>
          <w:rFonts w:ascii="Times New Roman" w:hAnsi="Times New Roman" w:cs="Times New Roman"/>
          <w:sz w:val="24"/>
          <w:szCs w:val="24"/>
        </w:rPr>
        <w:t xml:space="preserve"> от 3 октября 2014 г. </w:t>
      </w:r>
      <w:r w:rsidR="00B31A46">
        <w:rPr>
          <w:rFonts w:ascii="Times New Roman" w:hAnsi="Times New Roman" w:cs="Times New Roman"/>
          <w:sz w:val="24"/>
          <w:szCs w:val="24"/>
        </w:rPr>
        <w:t>№</w:t>
      </w:r>
      <w:r w:rsidR="00B31A46" w:rsidRPr="001F0A48">
        <w:rPr>
          <w:rFonts w:ascii="Times New Roman" w:hAnsi="Times New Roman" w:cs="Times New Roman"/>
          <w:sz w:val="24"/>
          <w:szCs w:val="24"/>
        </w:rPr>
        <w:t xml:space="preserve"> 279-ФЗ "О ратификации Договора о Евразийском экономическом союзе" (вступил в силу для Российской Федерации 1 января 2015 г.)</w:t>
      </w:r>
      <w:r w:rsidRPr="001F0A48">
        <w:rPr>
          <w:rFonts w:ascii="Times New Roman" w:hAnsi="Times New Roman" w:cs="Times New Roman"/>
          <w:sz w:val="24"/>
          <w:szCs w:val="24"/>
        </w:rPr>
        <w:t>, и имеющего схожие технические и эксплуатационные характеристики с товаром, позволяющие выполнять его функции и быть коммерчески взаимозаменяемым с ним (далее - аналогичный товар, сравнение соответственно).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12. Сравнение транспортных средств, произведенных в соответствии с техническим регламентом Таможенного союза "О безопасности колесных транспортных средств" (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ТС 018/2011), принятым Решением Комиссии Таможенного союза от 9 декабря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877) </w:t>
      </w:r>
      <w:r w:rsidR="00B31A46" w:rsidRPr="00B31A46">
        <w:rPr>
          <w:rFonts w:ascii="Times New Roman" w:hAnsi="Times New Roman" w:cs="Times New Roman"/>
          <w:sz w:val="24"/>
          <w:szCs w:val="24"/>
        </w:rPr>
        <w:t>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 г. № 279-ФЗ "О ратификации Договора о Евразийском экономическом союзе" (вступил в силу для Российской Федерации 1 января 2015 г.)</w:t>
      </w:r>
      <w:r w:rsidRPr="001F0A48">
        <w:rPr>
          <w:rFonts w:ascii="Times New Roman" w:hAnsi="Times New Roman" w:cs="Times New Roman"/>
          <w:sz w:val="24"/>
          <w:szCs w:val="24"/>
        </w:rPr>
        <w:t>, осуществляется в рамках совокупности следующих критериев: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а) для транспортных сре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дств с з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>акрытым типом кузова, имеющим интегрированный увеличенный багажный отсек с доступом через заднюю дверь (универсал), диапазон длины кузова: до 4200 мм, 4200-4440 мм, более 4440 мм и диапазон ширины кузова: до 1740 мм, 1740-1810 мм, более 1810 мм;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для транспортных сре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дств с з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акрытым типом кузова, имеющим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трехобъемную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 xml:space="preserve"> конфигурацию с отдельным багажным отсеком (седан) или с открывающейся вверх задней дверью и укороченным задним свесом (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>), диапазон длины кузова: до 4440 мм, 4440-4680 мм, более 4680 мм и диапазон ширины кузова: до 1740 мм, 1740-1810 мм, более 1810 мм.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lastRenderedPageBreak/>
        <w:t>13. Если по результатам сравнения, предусмотренного пунктами 11 и 12 настоящего порядка: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sz w:val="24"/>
          <w:szCs w:val="24"/>
        </w:rPr>
        <w:t>а) будет выявлено наличие аналогичного товара, то ответственное структурное подразделение в течение 1 рабочего дня со дня завершения сравнения посредством государственной информационной системы промышленности или электронной почты направляет заявку (без указания на идентификационные данные заявителя) организациям - производителям такого товара (далее - производитель аналогичного товара) с запросом о производственной и технологической возможности произвести аналогичный товар (далее - запрос).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Запрос направляется путем отправки сообщения на страницу личного кабинета государственной информационной системы промышленности на сайте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gisp.gov.ru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 xml:space="preserve"> производителя аналогичного товара и по электронной почте (при наличии);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не будет выявлено наличие аналогичного товара, то ответственное структурное подразделение в течение 5 рабочих дней со дня завершения сравнения направляет в адрес заявителя, в том числе посредством государственной информационной системы промышленности, разрешение.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14. Производитель аналогичного товара в течение 5 рабочих дней со дня получения запроса, указанного в подпункте "а" пункта 13 настоящего порядка, посредством государственной информационной системы промышленности: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а) подтверждает производственную и технологическую возможности произвести аналогичный товар;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не подтверждает производственную и технологическую возможности произвести аналогичный товар.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Если по истечении установленного настоящим пунктом времени производитель аналогичного товара не представил информацию согласно пункту 14 настоящего порядка, считается, что производственная и технологическая возможности не подтверждены.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 случае необходимости дополнительного подтверждения возможности произвести аналогичный товар, производитель такого товара продлевает рассмотрение заявки на 5 рабочих дней, но не более одного раза.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15. В целях реализации пункта 14 настоящего порядка производитель аналогичного товара использует государственную информационную систему промышленности.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Для работы в государственной информационной системы промышленности производителю аналогичного товара необходимо определить уполномоченное лицо, ответственное за представление информации в соответствии с пунктом 14 настоящего порядка (далее - представитель производителя).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Информация, представляемая в соответствии с пунктом 14 настоящего порядка, подписывается руководителем производителя (представителем производителя) и </w:t>
      </w:r>
      <w:r w:rsidRPr="001F0A48">
        <w:rPr>
          <w:rFonts w:ascii="Times New Roman" w:hAnsi="Times New Roman" w:cs="Times New Roman"/>
          <w:sz w:val="24"/>
          <w:szCs w:val="24"/>
        </w:rPr>
        <w:lastRenderedPageBreak/>
        <w:t>заверяется печатью производителя (при наличии) или подписывается квалифицированной подписью. После подписания информация считается подтвержденной и размещается в государственной информационной системы промышленности.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Ответственное структурное подразделение в течение 5 рабочих дней со дня получения информации в соответствии с пунктом 14 настоящего порядка направляет в адрес заявителя, в том числе посредством государственной информационной системы промышленности, разрешение, если из полученной информации следует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 xml:space="preserve"> производственной и технологической возможностей произвести аналогичный товар, либо уведомление об отказе в выдаче разрешения (далее - уведомление) с указанием выявленного аналогичного товара, если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из полученной информации следует подтверждение производственной и технологической возможностей произвести аналогичный товар.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17. Разрешение и уведомление подписываются руководителем (заместителем руководителя) ответственного структурного подразделения.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18. Разрешение действительно в течение 18 месяцев со дня его выдачи и распространяется только на одну закупку.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19. В разрешении указываются: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а) наименование заявителя;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наименование товара, в отношении которого выдано разрешение, его коды в соответствии с Общероссийским классификатором продукции по видам экономической деятельности и ТН ВЭД ЕАЭС;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в) реквизиты заявки, в соответствии с которой выдается разрешение.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Копия заявки, на основании которой выдано разрешение, является неотъемлемой частью выданного разрешения.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В случае несогласия заявителя с принятым в соответствии с пунктом 16 настоящего порядка решением заявитель подает в Министерство промышленности и торговли Российской Федерации через государственную информационную систему промышленности в течение 3 месяцев со дня получения уведомления соответствующую заявку с указанием причины несогласия с принятым решением и документально подтвержденным обоснованием причин несогласия, которая рассматривается отраслевым экспертным советом при Министерстве промышленности и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торговли Российской Федерации (далее - отраслевой экспертный совет) в соответствии с положением об отраслевых экспертных советах при Министерстве промышленности и торговли Российской Федерации, приведенным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</w:p>
    <w:p w:rsidR="001F0A48" w:rsidRPr="001F0A48" w:rsidRDefault="001F0A48" w:rsidP="00B31A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 случае принятия отраслевым экспертным советом решения о признании заявки обоснованной и поручении выдать заявителю разрешение ответственное структурное подразделение оформляет разрешение в течение 5 рабочих дней со дня принятия такого решения.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lastRenderedPageBreak/>
        <w:t>21. В случае если товар производится в рамках инвестиционного проекта, национального и федерального проектов (программ), заявка подается не чаще чем один раз в год по одной номенклатурной позиции.</w:t>
      </w:r>
    </w:p>
    <w:p w:rsidR="00B31A46" w:rsidRDefault="00B31A46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B31A46" w:rsidRDefault="00B31A46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1A46" w:rsidRPr="001F0A48" w:rsidRDefault="00B31A46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1F0A48" w:rsidRPr="001F0A48" w:rsidRDefault="001F0A48" w:rsidP="001F0A48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от 24.05.2024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2276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4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0A48" w:rsidRPr="001F0A48" w:rsidRDefault="001F0A48" w:rsidP="001F0A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48">
        <w:rPr>
          <w:rFonts w:ascii="Times New Roman" w:hAnsi="Times New Roman" w:cs="Times New Roman"/>
          <w:b/>
          <w:sz w:val="24"/>
          <w:szCs w:val="24"/>
        </w:rPr>
        <w:t>об отраслевых экспертных советах при Министерстве промышленности и торговли Российской Федерации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4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 xml:space="preserve">Отраслевые экспертные советы при Министерстве промышленности и торговли Российской Федерации являются совещательными органами, образованными исходя из отраслевой принадлежности в целях рассмотрения заявок, указанных в пункте 20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приведенного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1 к настоящему приказу (далее соответственно - экспертный совет, заявка, Порядок выдачи разрешения).</w:t>
      </w:r>
      <w:proofErr w:type="gramEnd"/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2. Экспертный совет взаимодействует по вопросам, входящим в его компетенцию, с органами государственной власти, органами местного самоуправления, общественными объединениями и организациями, зарегистрированными на территории Российской Федерации.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48">
        <w:rPr>
          <w:rFonts w:ascii="Times New Roman" w:hAnsi="Times New Roman" w:cs="Times New Roman"/>
          <w:b/>
          <w:sz w:val="24"/>
          <w:szCs w:val="24"/>
        </w:rPr>
        <w:t>II. Основные функции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3. Экспертный совет осуществляет следующие функции: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а) рассматривает поступившие в Министерство промышленности и торговли Российской Федерации заявки в соответствии с пунктом 20 Порядка выдачи разрешения;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принимает решение: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о признании заявки обоснованной и поручении выдать заявителю разрешение, предусмотренное пунктом 1 Порядка выдачи разрешения;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о признании заявки необоснованной и подтверждении правомерности выдачи уведомления, предусмотренного пунктом 16 Порядка выдачи разрешения.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48">
        <w:rPr>
          <w:rFonts w:ascii="Times New Roman" w:hAnsi="Times New Roman" w:cs="Times New Roman"/>
          <w:b/>
          <w:sz w:val="24"/>
          <w:szCs w:val="24"/>
        </w:rPr>
        <w:t>III. Состав и структура экспертного совета, права и обязанности членов экспертного совета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4. В состав экспертного совета входят председатель экспертного совета, два заместителя председателя экспертного совета, ответственный секретарь экспертного совета и члены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5. Общее число членов экспертного совета составляет не менее 7 и не более 14 человек с правом голоса.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6. Экспертный совет формируется из представителей Министерства промышленности и торговли Российской Федерации, иных федеральных органов исполнительной власти, общественных объединений, научных, производственных и образовательных организаций.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7. Председателем экспертного совета является заместитель Министра промышленности и торговли Российской Федерации.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Заместителями председателя экспертного совета являются руководитель отраслевого структурного подразделения Министерства промышленности и торговли Российской Федерации (далее - отраслевое структурное подразделение) и заместитель руководителя отраслевого структурного подразделения.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Ответственным секретарем экспертного совета является сотрудник отраслевого структурного подразделения.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Состав экспертного совета утверждается решением председателя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8. Председатель экспертного совета: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а) осуществляет общее руководство деятельностью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ведет заседания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в) дает поручения секретарю и членам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lastRenderedPageBreak/>
        <w:t>г) назначает дату, время, место и форму проведения заседания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>) утверждает повестку заседаний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е) подписывает протокол заседания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ж) принимает меры по предотвращению и (или) урегулированию конфликта интересов у членов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>) по поступившим в Министерство промышленности и торговли Российской Федерации предложениям формирует состав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9. Заместитель председателя экспертного совета: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а) в случае отсутствия председателя экспертного совета по его поручению председательствует на заседаниях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принимает решение о целесообразности вынесения заявки на экспертный совет;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в) докладывает председателю экспертного совета о работе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г) исполняет поручения председателя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>) взаимодействует с членами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е) подписывает протокол заседания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10. Ответственный секретарь экспертного совета: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а) входит в состав экспертного совета без права голоса;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осуществляет организацию работы по подготовке проведения заседаний экспертного совета, осуществляет подготовку проекта повестки заседания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в) осуществляет сбор материалов по вопросам, подлежащим рассмотрению на заседании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г) рассылает повестку заседания и список материалов всем членам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>) подготавливает проект протокола заседания экспертного совета и проект - бюллетеней для голосования на заседании экспертного совета (в случае проведения заседания в заочной форме);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е) выполняет обязанности по поручению председателя экспертного совета или его заместителя.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11. Члены экспертного совета обязаны: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48">
        <w:rPr>
          <w:rFonts w:ascii="Times New Roman" w:hAnsi="Times New Roman" w:cs="Times New Roman"/>
          <w:sz w:val="24"/>
          <w:szCs w:val="24"/>
        </w:rPr>
        <w:lastRenderedPageBreak/>
        <w:t xml:space="preserve">а) рассматривать поступившие в соответствии с пунктом 20 Порядка выдачи разрешения заявки и прилагаемые к ним документы на предмет их обоснованности и размещать их в своем личном кабинете государственной информационной системы промышленности, функционирующей в соответствии с постановлением Правительства Российской Федерации от 25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A48">
        <w:rPr>
          <w:rFonts w:ascii="Times New Roman" w:hAnsi="Times New Roman" w:cs="Times New Roman"/>
          <w:sz w:val="24"/>
          <w:szCs w:val="24"/>
        </w:rPr>
        <w:t xml:space="preserve"> 757 "О порядке создания, эксплуатации и совершенствования государственной информационной системы промышленности", с обоснованием результатов такого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рассмотрения;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соблюдать установленный пунктом 25 настоящего положения срок подготовки экспертных оценок;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в) соблюдать иные требования настоящего положения.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12. Члены экспертного совета вправе: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а) излагать в письменном виде особое мнение в случае несогласия с решением, принятым на заседании экспертного совета, которое должно быть приложено к протоколу заседания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б) вносить при необходимости предложения по формированию повестки заседаний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в) взаимодействовать с федеральными органами исполнительной власти, общественными и производственными организациями, общественными объединениями, научно-исследовательскими и иными организациями по вопросам, относящимся к компетенции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13. Организационно-техническое и информационно-аналитическое обеспечение экспертного совета осуществляет отраслевое структурное подразделение. При необходимости отраслевым структурным подразделением могут привлекаться к работе подведомственные организации.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48">
        <w:rPr>
          <w:rFonts w:ascii="Times New Roman" w:hAnsi="Times New Roman" w:cs="Times New Roman"/>
          <w:b/>
          <w:sz w:val="24"/>
          <w:szCs w:val="24"/>
        </w:rPr>
        <w:t>IV. Организация работы экспертного совета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14. Заседания экспертного совета могут проводиться как в очной форме путем личного участия, так и в заочной форме с использованием государственной информационной системы промышленности.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Решение о форме проведения заседания экспертного совета принимается председателем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15. Очные заседания экспертного совета проводятся по мере необходимости. На очном заседании экспертного совета правомочно принимать решения, если на заседании присутствует более половины от общего числа членов экспертного совета с правом голоса.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lastRenderedPageBreak/>
        <w:t>16. В целях обеспечения открытости и прозрачности голосования очные заседания проводятся с использованием ауди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A48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1F0A48">
        <w:rPr>
          <w:rFonts w:ascii="Times New Roman" w:hAnsi="Times New Roman" w:cs="Times New Roman"/>
          <w:sz w:val="24"/>
          <w:szCs w:val="24"/>
        </w:rPr>
        <w:t xml:space="preserve"> фиксации.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17. Решение экспертного совета может быть принято путем заочного голосования (опросным путем), если в голосовании приняло участие более чем 2/3 членов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18. Бюллетень для заочного голосования (далее - бюллетень) должен содержать следующую информацию: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вопросы, выносимые на голосование, с графами ("за", "против", "воздержался") для проставления отметок о голосовании членом экспертного совета;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фамилия, имя, отчество (при наличии) члена экспертного совета, участвующего в голосовании, подпись голосующего члена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19. После окончания проведения заочного голосования ответственным секретарем экспертного совета оформляется соответствующий протокол.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1F0A48">
        <w:rPr>
          <w:rFonts w:ascii="Times New Roman" w:hAnsi="Times New Roman" w:cs="Times New Roman"/>
          <w:sz w:val="24"/>
          <w:szCs w:val="24"/>
        </w:rPr>
        <w:t>Если содержащиеся в заявке сведения, проверенные Министерством промышленности и торговли Российской Федерации в течение 10 рабочих дней со дня получения заявки на предмет полноты и достоверности сведений, указывают на причины несогласия с принятым в соответствии с пунктом 16 Порядка выдачи разрешений решением, подтверждены (не подтверждены) прилагаемыми к заявке документами, то по итогам рассмотрения заявки заместителем председателя экспертного совета принимается решение</w:t>
      </w:r>
      <w:proofErr w:type="gramEnd"/>
      <w:r w:rsidRPr="001F0A48">
        <w:rPr>
          <w:rFonts w:ascii="Times New Roman" w:hAnsi="Times New Roman" w:cs="Times New Roman"/>
          <w:sz w:val="24"/>
          <w:szCs w:val="24"/>
        </w:rPr>
        <w:t xml:space="preserve"> о целесообразности (нецелесообразности) вынесения ее на экспертный совет для обсуждения.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21. В случае принятия заместителем председателя экспертного совета решения о нецелесообразности вынесения заявки на экспертный совет заявителю в течение 5 рабочих дней со дня принятия указанного решения направляется уведомление об отказе в вынесении заявки на экспертный совет с указанием причины возврата заявки.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22. В случае принятия заместителем председателя экспертного совета решения о целесообразности вынесения заявки на экспертный совет ответственный секретарь экспертного совета формирует заявку для ее вынесения на заседание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23. Заседания экспертного совета проводятся по мере необходимости, при этом срок рассмотрения заявки экспертным советом не должен превышать 40 рабочих дней со дня ее поступления в Министерство промышленности и торговли Российской Федерации.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24. Ответственный секретарь осуществляет рассылку повестки заседания и материалов с бюллетенями всем членам экспертного совета за 10 рабочих дней до дня проведения заседания экспертного совета. При заочном голосовании указанная рассылка осуществляется в личные кабинеты членов экспертного совета государственной информационной системы промышленности.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lastRenderedPageBreak/>
        <w:t>25. При заочном голосовании в период, указанный в пункте 24 настоящего положения, члены экспертного совета готовят экспертные оценки, прикладывают их к каждой из рассматриваемых заявок и голосуют по заявкам в своих личных кабинетах государственной информационной системы промышленности.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26. При очном голосовании в период, указанный в пункте 24 настоящего положения, члены экспертного совета готовят экспертные оценки по рассматриваемым заявкам и голосуют на очном заседании экспертного совета в соответствии с пунктом 15 настоящего положения.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27. По итогам проведенного заседания экспертного совета ответственный секретарь в течение 5 рабочих дней со дня завершения заседания экспертного совета посредством государственной информационной системы промышленности формирует протокол заседания экспертного совета и подписывает у председателя экспертного совета. Бюллетени с результатами голосования являются неотъемлемой частью протокола.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28. Ответственный секретарь в течение 5 рабочих дней со дня подписания протокола председателем экспертного совета информирует заявителя об итогах заседания экспертного совета путем направления одного из документов, указанных в подпункте "б" пункта 3 настоящего положения.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48">
        <w:rPr>
          <w:rFonts w:ascii="Times New Roman" w:hAnsi="Times New Roman" w:cs="Times New Roman"/>
          <w:b/>
          <w:sz w:val="24"/>
          <w:szCs w:val="24"/>
        </w:rPr>
        <w:t>V. Конфликт интересов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29. В случае если выполнение обязанностей члена экспертного совета может повлечь за собой конфликт интересов, способный повлиять на полноту и объективность принимаемых решений, член экспертного совета обязан сообщить в письменной форме о конфликте интересов председателю экспертного совета, а также заявить самоотвод до начала проведения заседания экспертного совета.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30. При наличии достаточных оснований, указывающих на конфликт интересов члена экспертного совета, председатель экспертного совета рассматривает вопрос об отстранении члена экспертного совета от участия в голосовании. По итогам рассмотрения вопроса председатель экспертного совета выносит мотивированное решение.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31. Участие в голосовании члена экспертного совета, имеющего конфликт интересов, не допускается.</w:t>
      </w:r>
    </w:p>
    <w:p w:rsidR="001F0A48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32. Председатель экспертного совета или члены экспертного совета, если им стало известно о возникновении у члена экспертного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38103E" w:rsidRPr="001F0A48" w:rsidRDefault="001F0A48" w:rsidP="001F0A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A48">
        <w:rPr>
          <w:rFonts w:ascii="Times New Roman" w:hAnsi="Times New Roman" w:cs="Times New Roman"/>
          <w:sz w:val="24"/>
          <w:szCs w:val="24"/>
        </w:rPr>
        <w:t>33. Непринятие лицом, являющимся стороной конфликта интересов, мер по предотвращению или урегулированию конфликта интересов является основанием для исключения указанного лица из состава экспертного совета.</w:t>
      </w:r>
    </w:p>
    <w:sectPr w:rsidR="0038103E" w:rsidRPr="001F0A48" w:rsidSect="0038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0A48"/>
    <w:rsid w:val="001F0A48"/>
    <w:rsid w:val="0038103E"/>
    <w:rsid w:val="00B3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2024-07-04T09:25:00Z</dcterms:created>
  <dcterms:modified xsi:type="dcterms:W3CDTF">2024-07-04T09:44:00Z</dcterms:modified>
</cp:coreProperties>
</file>