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sz w:val="22"/>
          <w:szCs w:val="22"/>
        </w:rPr>
        <w:t xml:space="preserve"> </w:t>
      </w:r>
    </w:p>
    <w:p>
      <w:r>
        <w:rPr>
          <w:sz w:val="40"/>
          <w:szCs w:val="40"/>
          <w:b/>
        </w:rPr>
        <w:t xml:space="preserve">О необходимости наличия у участников закупки лекарственных препаратов лицензии на оптовую торговлю лекарственными препаратами</w:t>
      </w:r>
    </w:p>
    <w:p/>
    <w:p>
      <w:r>
        <w:rPr>
          <w:sz w:val="22"/>
          <w:szCs w:val="22"/>
        </w:rPr>
        <w:t xml:space="preserve">20.09.2017 | 18:49</w:t>
      </w:r>
    </w:p>
    <w:p>
      <w:r>
        <w:rPr>
          <w:sz w:val="22"/>
          <w:szCs w:val="22"/>
        </w:rPr>
        <w:t xml:space="preserve"> </w:t>
      </w:r>
    </w:p>
    <w:p/>
    <w:p/>
    <w:p/>
    <w:p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Разъяснения ФАС России от 19.09.2017 № ИА/64899 "О необходимости наличия у участников закупки лекарственных препаратов лицензии на оптовую торговлю лекарственными препаратами" можно скачать ниже </w:t>
      </w:r>
    </w:p>
    <w:p/>
    <w:p/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2017-09-20T19:03:13+03:00</dcterms:created>
  <dcterms:modified xsi:type="dcterms:W3CDTF">2017-09-20T19:03:13+03:00</dcterms:modified>
  <dc:title/>
  <dc:description/>
  <dc:subject/>
  <cp:keywords/>
  <cp:category/>
</cp:coreProperties>
</file>