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5F" w:rsidRDefault="0040175F" w:rsidP="0040175F">
      <w:pPr>
        <w:spacing w:after="0"/>
        <w:jc w:val="center"/>
        <w:rPr>
          <w:b/>
          <w:lang w:val="en-US"/>
        </w:rPr>
      </w:pPr>
      <w:r w:rsidRPr="0040175F">
        <w:rPr>
          <w:b/>
        </w:rPr>
        <w:t xml:space="preserve">Письмо Минфина России </w:t>
      </w:r>
    </w:p>
    <w:p w:rsidR="0040175F" w:rsidRDefault="0040175F" w:rsidP="0040175F">
      <w:pPr>
        <w:spacing w:after="0"/>
        <w:jc w:val="center"/>
        <w:rPr>
          <w:b/>
          <w:lang w:val="en-US"/>
        </w:rPr>
      </w:pPr>
      <w:r w:rsidRPr="0040175F">
        <w:rPr>
          <w:b/>
        </w:rPr>
        <w:t xml:space="preserve">от 13 марта 2019 г. N 24-01-08/16062 </w:t>
      </w:r>
    </w:p>
    <w:p w:rsidR="0040175F" w:rsidRPr="0040175F" w:rsidRDefault="0040175F" w:rsidP="0040175F">
      <w:pPr>
        <w:spacing w:after="0"/>
        <w:jc w:val="center"/>
        <w:rPr>
          <w:b/>
        </w:rPr>
      </w:pPr>
      <w:r w:rsidRPr="0040175F">
        <w:rPr>
          <w:b/>
        </w:rPr>
        <w:t>"О рассмотрении обращения"</w:t>
      </w:r>
    </w:p>
    <w:p w:rsidR="0040175F" w:rsidRDefault="0040175F" w:rsidP="0040175F">
      <w:pPr>
        <w:spacing w:after="0"/>
      </w:pPr>
      <w:r>
        <w:t xml:space="preserve"> </w:t>
      </w:r>
    </w:p>
    <w:p w:rsidR="0040175F" w:rsidRDefault="0040175F" w:rsidP="0040175F">
      <w:pPr>
        <w:spacing w:after="0"/>
        <w:ind w:firstLine="851"/>
        <w:jc w:val="both"/>
      </w:pPr>
    </w:p>
    <w:p w:rsidR="0040175F" w:rsidRDefault="0040175F" w:rsidP="0040175F">
      <w:pPr>
        <w:spacing w:after="0"/>
        <w:ind w:firstLine="851"/>
        <w:jc w:val="both"/>
      </w:pPr>
      <w:r>
        <w:t>Департамент бюджетной политики в сфере контрактной системы Минфина России, рассмотрев обращение по вопросу необходимости указания идентификационного кода закупки в документах о приемке товара, сообщает следующее.</w:t>
      </w:r>
    </w:p>
    <w:p w:rsidR="0040175F" w:rsidRDefault="0040175F" w:rsidP="0040175F">
      <w:pPr>
        <w:spacing w:after="0"/>
        <w:ind w:firstLine="851"/>
        <w:jc w:val="both"/>
      </w:pPr>
      <w:proofErr w:type="gramStart"/>
      <w:r>
        <w:t>Согласно части 1 статьи 23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идентификационный код закупки (далее - ИКЗ) указывается в плане закупок,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</w:t>
      </w:r>
      <w:proofErr w:type="gramEnd"/>
      <w:r>
        <w:t xml:space="preserve"> </w:t>
      </w:r>
      <w:proofErr w:type="gramStart"/>
      <w:r>
        <w:t>контракте</w:t>
      </w:r>
      <w:proofErr w:type="gramEnd"/>
      <w:r>
        <w:t>, а также в иных документах, предусмотренных Законом о контрактной системе.</w:t>
      </w:r>
    </w:p>
    <w:p w:rsidR="0040175F" w:rsidRDefault="0040175F" w:rsidP="0040175F">
      <w:pPr>
        <w:spacing w:after="0"/>
        <w:ind w:firstLine="851"/>
        <w:jc w:val="both"/>
      </w:pPr>
      <w:r>
        <w:t>Так, в соответствии с Законом о контрактной системе ИКЗ также указывается:</w:t>
      </w:r>
    </w:p>
    <w:p w:rsidR="0040175F" w:rsidRDefault="0040175F" w:rsidP="0040175F">
      <w:pPr>
        <w:spacing w:after="0"/>
        <w:ind w:firstLine="851"/>
        <w:jc w:val="both"/>
      </w:pPr>
      <w:r>
        <w:t>- при проведении совместных конкурсов и аукционов (пункт 1.1 части 2 статьи 25 Закона о контрактной системе);</w:t>
      </w:r>
    </w:p>
    <w:p w:rsidR="0040175F" w:rsidRDefault="0040175F" w:rsidP="0040175F">
      <w:pPr>
        <w:spacing w:after="0"/>
        <w:ind w:firstLine="851"/>
        <w:jc w:val="both"/>
      </w:pPr>
      <w:r>
        <w:t>- в реестре контрактов, заключенных заказчиками (пункт 12 части 2 статьи 103 Закона о контрактной системе);</w:t>
      </w:r>
    </w:p>
    <w:p w:rsidR="0040175F" w:rsidRDefault="0040175F" w:rsidP="0040175F">
      <w:pPr>
        <w:spacing w:after="0"/>
        <w:ind w:firstLine="851"/>
        <w:jc w:val="both"/>
      </w:pPr>
      <w:r>
        <w:t>- в реестре недобросовестных поставщиков (подрядчиков, исполнителей) (пункт 5 части 3 статьи 104 Закона о контрактной системе).</w:t>
      </w:r>
    </w:p>
    <w:p w:rsidR="0040175F" w:rsidRDefault="0040175F" w:rsidP="0040175F">
      <w:pPr>
        <w:spacing w:after="0"/>
        <w:ind w:firstLine="851"/>
        <w:jc w:val="both"/>
      </w:pPr>
      <w:proofErr w:type="gramStart"/>
      <w:r>
        <w:t xml:space="preserve">Согласно части 1.4 статьи 7.30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предусмотрена административная ответственность за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</w:t>
      </w:r>
      <w:proofErr w:type="gramEnd"/>
      <w:r>
        <w:t xml:space="preserve"> в сфере закупок. Кроме того, административная ответственность предусмотрена за включение заведомо недостоверной информации в реестр недобросовестных поставщиков (подрядчиков, исполнителей) (часть 1 статьи 7.31 </w:t>
      </w:r>
      <w:proofErr w:type="spellStart"/>
      <w:r>
        <w:t>КоАП</w:t>
      </w:r>
      <w:proofErr w:type="spellEnd"/>
      <w:r>
        <w:t xml:space="preserve"> РФ).</w:t>
      </w:r>
    </w:p>
    <w:p w:rsidR="0040175F" w:rsidRDefault="0040175F" w:rsidP="0040175F">
      <w:pPr>
        <w:spacing w:after="0"/>
        <w:ind w:firstLine="851"/>
        <w:jc w:val="both"/>
      </w:pPr>
      <w:r>
        <w:t xml:space="preserve">Таким образом, </w:t>
      </w:r>
      <w:proofErr w:type="spellStart"/>
      <w:r>
        <w:t>неуказание</w:t>
      </w:r>
      <w:proofErr w:type="spellEnd"/>
      <w:r>
        <w:t xml:space="preserve"> ИКЗ в документах, предусмотренных Законом о контрактной системе, может повлечь ответственность, установленную действующим законодательством.</w:t>
      </w:r>
    </w:p>
    <w:p w:rsidR="0040175F" w:rsidRDefault="0040175F" w:rsidP="0040175F">
      <w:pPr>
        <w:spacing w:after="0"/>
        <w:ind w:firstLine="851"/>
        <w:jc w:val="both"/>
      </w:pPr>
      <w:r>
        <w:t>При этом отмечаем, что порядок заполнения унифицированных форм первичных учетных документов положениями Закона о контрактной системе не регулируется.</w:t>
      </w:r>
    </w:p>
    <w:p w:rsidR="0040175F" w:rsidRDefault="0040175F" w:rsidP="0040175F">
      <w:pPr>
        <w:spacing w:after="0"/>
        <w:ind w:firstLine="851"/>
        <w:jc w:val="both"/>
      </w:pPr>
    </w:p>
    <w:p w:rsidR="0040175F" w:rsidRDefault="0040175F" w:rsidP="0040175F">
      <w:pPr>
        <w:spacing w:after="0"/>
        <w:ind w:firstLine="851"/>
        <w:jc w:val="both"/>
      </w:pPr>
    </w:p>
    <w:p w:rsidR="0040175F" w:rsidRDefault="0040175F" w:rsidP="0040175F">
      <w:pPr>
        <w:spacing w:after="0"/>
        <w:ind w:firstLine="851"/>
        <w:jc w:val="both"/>
      </w:pPr>
    </w:p>
    <w:p w:rsidR="0040175F" w:rsidRDefault="0040175F" w:rsidP="0040175F">
      <w:pPr>
        <w:spacing w:after="0"/>
        <w:ind w:firstLine="851"/>
        <w:jc w:val="both"/>
      </w:pPr>
      <w:r>
        <w:t>Директор Департамента</w:t>
      </w:r>
    </w:p>
    <w:p w:rsidR="0040175F" w:rsidRDefault="0040175F" w:rsidP="0040175F">
      <w:pPr>
        <w:spacing w:after="0"/>
        <w:ind w:firstLine="851"/>
        <w:jc w:val="both"/>
      </w:pPr>
    </w:p>
    <w:p w:rsidR="0040175F" w:rsidRDefault="0040175F" w:rsidP="0040175F">
      <w:pPr>
        <w:spacing w:after="0"/>
        <w:ind w:firstLine="851"/>
        <w:jc w:val="both"/>
      </w:pPr>
      <w:r>
        <w:t>Т.П. Демидова</w:t>
      </w:r>
    </w:p>
    <w:sectPr w:rsidR="0040175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75F"/>
    <w:rsid w:val="003636AE"/>
    <w:rsid w:val="0040175F"/>
    <w:rsid w:val="006D07F3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>Krokoz™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2019-03-26T06:03:00Z</dcterms:created>
  <dcterms:modified xsi:type="dcterms:W3CDTF">2019-03-26T06:07:00Z</dcterms:modified>
</cp:coreProperties>
</file>