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arial"/>
          <w:b/>
          <w:color w:val="000000"/>
          <w:sz w:val="18"/>
          <w:lang w:val="en-US"/>
        </w:rPr>
      </w:pPr>
      <w:r>
        <w:rPr>
          <w:rFonts w:ascii="arial"/>
          <w:b/>
          <w:color w:val="000000"/>
          <w:sz w:val="18"/>
          <w:rtl w:val="off"/>
          <w:lang w:val="en-US"/>
        </w:rPr>
        <w:t>Письмо Минфина России и Федерального казначейства от 8 мая 2019 г. NN 09-01-09/33482, 07-04-05/22-9201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b/>
          <w:color w:val="000000"/>
          <w:sz w:val="18"/>
          <w:lang w:val="en-US"/>
        </w:rPr>
      </w:pPr>
      <w:r>
        <w:rPr>
          <w:rFonts w:ascii="arial"/>
          <w:b/>
          <w:color w:val="000000"/>
          <w:sz w:val="18"/>
          <w:rtl w:val="off"/>
          <w:lang w:val="en-US"/>
        </w:rPr>
        <w:t xml:space="preserve"> 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850"/>
        <w:jc w:val="both"/>
        <w:rPr>
          <w:rFonts w:ascii="arial"/>
          <w:b w:val="off"/>
          <w:color w:val="000000"/>
          <w:sz w:val="18"/>
          <w:lang w:val="en-US"/>
        </w:rPr>
      </w:pPr>
      <w:r>
        <w:rPr>
          <w:rFonts w:ascii="arial"/>
          <w:b w:val="off"/>
          <w:color w:val="000000"/>
          <w:sz w:val="18"/>
          <w:rtl w:val="off"/>
          <w:lang w:val="en-US"/>
        </w:rPr>
        <w:t>Министерство финансов Российской Федерации и Федеральное казначейство в целях разъяснения положений</w:t>
      </w:r>
      <w:r>
        <w:rPr>
          <w:rFonts w:ascii="arial"/>
          <w:b w:val="off"/>
          <w:color w:val="000000"/>
          <w:sz w:val="18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"http://base.garant.ru/72141794/33b5076f855c6f5dd999e76f6b47651f/" </w:instrText>
      </w:r>
      <w:r>
        <w:fldChar w:fldCharType="separate"/>
      </w:r>
      <w:r>
        <w:rPr>
          <w:rFonts w:ascii="arial"/>
          <w:b w:val="off"/>
          <w:color w:val="6d6d6d"/>
          <w:sz w:val="18"/>
          <w:u w:val="single"/>
          <w:rtl w:val="off"/>
          <w:lang w:val="en-US"/>
        </w:rPr>
        <w:t>подпункта "а" пункта 12</w:t>
      </w:r>
      <w:r>
        <w:fldChar w:fldCharType="end"/>
      </w:r>
      <w:r>
        <w:rPr>
          <w:rFonts w:ascii="arial"/>
          <w:b w:val="off"/>
          <w:color w:val="000000"/>
          <w:sz w:val="18"/>
          <w:rtl w:val="off"/>
          <w:lang w:val="en-US"/>
        </w:rPr>
        <w:t xml:space="preserve"> </w:t>
      </w:r>
      <w:r>
        <w:rPr>
          <w:rFonts w:ascii="arial"/>
          <w:b w:val="off"/>
          <w:color w:val="000000"/>
          <w:sz w:val="18"/>
          <w:rtl w:val="off"/>
          <w:lang w:val="en-US"/>
        </w:rPr>
        <w:t>Правил казначейского сопровождения средств в случаях, предусмотренных федеральным законом "О федеральном бюджете на 2019 год и на плановый период 2020 и 2021 годов", утвержденных</w:t>
      </w:r>
      <w:r>
        <w:rPr>
          <w:rFonts w:ascii="arial"/>
          <w:b w:val="off"/>
          <w:color w:val="000000"/>
          <w:sz w:val="18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"http://base.garant.ru/72141794/" </w:instrText>
      </w:r>
      <w:r>
        <w:fldChar w:fldCharType="separate"/>
      </w:r>
      <w:r>
        <w:rPr>
          <w:rFonts w:ascii="arial"/>
          <w:b w:val="off"/>
          <w:color w:val="6d6d6d"/>
          <w:sz w:val="18"/>
          <w:u w:val="single"/>
          <w:rtl w:val="off"/>
          <w:lang w:val="en-US"/>
        </w:rPr>
        <w:t>постановлением</w:t>
      </w:r>
      <w:r>
        <w:fldChar w:fldCharType="end"/>
      </w:r>
      <w:r>
        <w:rPr>
          <w:rFonts w:ascii="arial"/>
          <w:b w:val="off"/>
          <w:color w:val="000000"/>
          <w:sz w:val="18"/>
          <w:rtl w:val="off"/>
          <w:lang w:val="en-US"/>
        </w:rPr>
        <w:t xml:space="preserve"> </w:t>
      </w:r>
      <w:r>
        <w:rPr>
          <w:rFonts w:ascii="arial"/>
          <w:b w:val="off"/>
          <w:color w:val="000000"/>
          <w:sz w:val="18"/>
          <w:rtl w:val="off"/>
          <w:lang w:val="en-US"/>
        </w:rPr>
        <w:t>Правительства Российской Федерации от 30 декабря 2018 г. N 1765 (далее - Правила N 1765), и порядка заполнения</w:t>
      </w:r>
      <w:r>
        <w:rPr>
          <w:rFonts w:ascii="arial"/>
          <w:b w:val="off"/>
          <w:color w:val="000000"/>
          <w:sz w:val="18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"http://base.garant.ru/72144020/a2ef833c70c87542491df8374aff8432/" </w:instrText>
      </w:r>
      <w:r>
        <w:fldChar w:fldCharType="separate"/>
      </w:r>
      <w:r>
        <w:rPr>
          <w:rFonts w:ascii="arial"/>
          <w:b w:val="off"/>
          <w:color w:val="6d6d6d"/>
          <w:sz w:val="18"/>
          <w:u w:val="single"/>
          <w:rtl w:val="off"/>
          <w:lang w:val="en-US"/>
        </w:rPr>
        <w:t>графы 2</w:t>
      </w:r>
      <w:r>
        <w:fldChar w:fldCharType="end"/>
      </w:r>
      <w:r>
        <w:rPr>
          <w:rFonts w:ascii="arial"/>
          <w:b w:val="off"/>
          <w:color w:val="000000"/>
          <w:sz w:val="18"/>
          <w:rtl w:val="off"/>
          <w:lang w:val="en-US"/>
        </w:rPr>
        <w:t xml:space="preserve"> </w:t>
      </w:r>
      <w:r>
        <w:rPr>
          <w:rFonts w:ascii="arial"/>
          <w:b w:val="off"/>
          <w:color w:val="000000"/>
          <w:sz w:val="18"/>
          <w:rtl w:val="off"/>
          <w:lang w:val="en-US"/>
        </w:rPr>
        <w:t>табличной части Сведений об операциях с целевыми средствами на 20__год и плановый период 20__ и 20__ годов (код формы по ОКУД 0501213) (далее - Сведения) согласно приложению N 1 к Порядку осуществления 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средства, при казначейском сопровождении целевых средств в случаях, предусмотренных Федеральным законом "О федеральном бюджете на 2019 год и на плановый период 2020 и 2021 годов", утвержденному</w:t>
      </w:r>
      <w:r>
        <w:rPr>
          <w:rFonts w:ascii="arial"/>
          <w:b w:val="off"/>
          <w:color w:val="000000"/>
          <w:sz w:val="18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"http://base.garant.ru/72144020/" </w:instrText>
      </w:r>
      <w:r>
        <w:fldChar w:fldCharType="separate"/>
      </w:r>
      <w:r>
        <w:rPr>
          <w:rFonts w:ascii="arial"/>
          <w:b w:val="off"/>
          <w:color w:val="6d6d6d"/>
          <w:sz w:val="18"/>
          <w:u w:val="single"/>
          <w:rtl w:val="off"/>
          <w:lang w:val="en-US"/>
        </w:rPr>
        <w:t>приказом</w:t>
      </w:r>
      <w:r>
        <w:fldChar w:fldCharType="end"/>
      </w:r>
      <w:r>
        <w:rPr>
          <w:rFonts w:ascii="arial"/>
          <w:b w:val="off"/>
          <w:color w:val="000000"/>
          <w:sz w:val="18"/>
          <w:rtl w:val="off"/>
          <w:lang w:val="en-US"/>
        </w:rPr>
        <w:t xml:space="preserve"> </w:t>
      </w:r>
      <w:r>
        <w:rPr>
          <w:rFonts w:ascii="arial"/>
          <w:b w:val="off"/>
          <w:color w:val="000000"/>
          <w:sz w:val="18"/>
          <w:rtl w:val="off"/>
          <w:lang w:val="en-US"/>
        </w:rPr>
        <w:t>Министерства финансов Российской Федерации от 11 декабря 2019 г. N 259н (далее - Порядок N 259н), сообщают.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850"/>
        <w:jc w:val="both"/>
        <w:rPr>
          <w:rFonts w:ascii="arial"/>
          <w:b w:val="off"/>
          <w:color w:val="000000"/>
          <w:sz w:val="18"/>
          <w:lang w:val="en-US"/>
        </w:rPr>
      </w:pPr>
      <w:r>
        <w:rPr>
          <w:rFonts w:ascii="arial"/>
          <w:b w:val="off"/>
          <w:color w:val="000000"/>
          <w:sz w:val="18"/>
          <w:rtl w:val="off"/>
          <w:lang w:val="en-US"/>
        </w:rPr>
        <w:t>Согласно</w:t>
      </w:r>
      <w:r>
        <w:rPr>
          <w:rFonts w:ascii="arial"/>
          <w:b w:val="off"/>
          <w:color w:val="000000"/>
          <w:sz w:val="18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"http://base.garant.ru/72141794/33b5076f855c6f5dd999e76f6b47651f/" </w:instrText>
      </w:r>
      <w:r>
        <w:fldChar w:fldCharType="separate"/>
      </w:r>
      <w:r>
        <w:rPr>
          <w:rFonts w:ascii="arial"/>
          <w:b w:val="off"/>
          <w:color w:val="6d6d6d"/>
          <w:sz w:val="18"/>
          <w:u w:val="single"/>
          <w:rtl w:val="off"/>
          <w:lang w:val="en-US"/>
        </w:rPr>
        <w:t>подпункту "а" пункта 12</w:t>
      </w:r>
      <w:r>
        <w:fldChar w:fldCharType="end"/>
      </w:r>
      <w:r>
        <w:rPr>
          <w:rFonts w:ascii="arial"/>
          <w:b w:val="off"/>
          <w:color w:val="000000"/>
          <w:sz w:val="18"/>
          <w:rtl w:val="off"/>
          <w:lang w:val="en-US"/>
        </w:rPr>
        <w:t xml:space="preserve"> </w:t>
      </w:r>
      <w:r>
        <w:rPr>
          <w:rFonts w:ascii="arial"/>
          <w:b w:val="off"/>
          <w:color w:val="000000"/>
          <w:sz w:val="18"/>
          <w:rtl w:val="off"/>
          <w:lang w:val="en-US"/>
        </w:rPr>
        <w:t>Правил N 1765, территориальные органы Федерального казначейства в соответствии с</w:t>
      </w:r>
      <w:r>
        <w:rPr>
          <w:rFonts w:ascii="arial"/>
          <w:b w:val="off"/>
          <w:color w:val="000000"/>
          <w:sz w:val="18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"http://base.garant.ru/72116686/5633a92d35b966c2ba2f1e859e7bdd69/" </w:instrText>
      </w:r>
      <w:r>
        <w:fldChar w:fldCharType="separate"/>
      </w:r>
      <w:r>
        <w:rPr>
          <w:rFonts w:ascii="arial"/>
          <w:b w:val="off"/>
          <w:color w:val="6d6d6d"/>
          <w:sz w:val="18"/>
          <w:u w:val="single"/>
          <w:rtl w:val="off"/>
          <w:lang w:val="en-US"/>
        </w:rPr>
        <w:t>пунктом 5 части 2 статьи 5</w:t>
      </w:r>
      <w:r>
        <w:fldChar w:fldCharType="end"/>
      </w:r>
      <w:r>
        <w:rPr>
          <w:rFonts w:ascii="arial"/>
          <w:b w:val="off"/>
          <w:color w:val="000000"/>
          <w:sz w:val="18"/>
          <w:rtl w:val="off"/>
          <w:lang w:val="en-US"/>
        </w:rPr>
        <w:t xml:space="preserve"> </w:t>
      </w:r>
      <w:r>
        <w:rPr>
          <w:rFonts w:ascii="arial"/>
          <w:b w:val="off"/>
          <w:color w:val="000000"/>
          <w:sz w:val="18"/>
          <w:rtl w:val="off"/>
          <w:lang w:val="en-US"/>
        </w:rPr>
        <w:t>Федерального закона от 29 ноября 2018 г. N 459-ФЗ "О федеральном бюджете на 2019 год и на плановый период 2020 и 2021 годов" осуществляют казначейское сопровождение расчетов по государственным контрактам с единственным поставщиком (подрядчиком, исполнителем), определенным в соответствии с</w:t>
      </w:r>
      <w:r>
        <w:rPr>
          <w:rFonts w:ascii="arial"/>
          <w:b w:val="off"/>
          <w:color w:val="000000"/>
          <w:sz w:val="18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"http://base.garant.ru/70353464/daf75cc17d0d1b8b796480bc59f740b8/" </w:instrText>
      </w:r>
      <w:r>
        <w:fldChar w:fldCharType="separate"/>
      </w:r>
      <w:r>
        <w:rPr>
          <w:rFonts w:ascii="arial"/>
          <w:b w:val="off"/>
          <w:color w:val="6d6d6d"/>
          <w:sz w:val="18"/>
          <w:u w:val="single"/>
          <w:rtl w:val="off"/>
          <w:lang w:val="en-US"/>
        </w:rPr>
        <w:t>пунктом 2 части 1 статьи 93</w:t>
      </w:r>
      <w:r>
        <w:fldChar w:fldCharType="end"/>
      </w:r>
      <w:r>
        <w:rPr>
          <w:rFonts w:ascii="arial"/>
          <w:b w:val="off"/>
          <w:color w:val="000000"/>
          <w:sz w:val="18"/>
          <w:rtl w:val="off"/>
          <w:lang w:val="en-US"/>
        </w:rPr>
        <w:t xml:space="preserve"> </w:t>
      </w:r>
      <w:r>
        <w:rPr>
          <w:rFonts w:ascii="arial"/>
          <w:b w:val="off"/>
          <w:color w:val="000000"/>
          <w:sz w:val="18"/>
          <w:rtl w:val="off"/>
          <w:lang w:val="en-US"/>
        </w:rPr>
        <w:t>Федерального закона "О контрактной системе в сфере закупок товаров, работ, услуг для обеспечения государственных и муниципальных нужд", в случае, если оплата по таким государственным контрактам осуществляется единовременно после полного исполнения соответствующего государственного контракта на основании документов, подтверждающих факт поставки товаров (выполнения работ, оказания услуг).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850"/>
        <w:jc w:val="both"/>
        <w:rPr>
          <w:rFonts w:ascii="arial"/>
          <w:b w:val="off"/>
          <w:color w:val="000000"/>
          <w:sz w:val="18"/>
          <w:lang w:val="en-US"/>
        </w:rPr>
      </w:pPr>
      <w:r>
        <w:rPr>
          <w:rFonts w:ascii="arial"/>
          <w:b w:val="off"/>
          <w:color w:val="000000"/>
          <w:sz w:val="18"/>
          <w:rtl w:val="off"/>
          <w:lang w:val="en-US"/>
        </w:rPr>
        <w:t>Таким образом, перечисление средств с лицевого счета для учета операций неучастника бюджетного процесса, открытого единственному поставщику (подрядчику, исполнителю) в территориальном органе Федерального казначейства, осуществляется единовременно после полного исполнения соответствующего государственного контракта на основании документов, подтверждающих факт поставки товаров (выполнения работ, оказания услуг) на счет, открытый такому поставщику (подрядчику, исполнителю) в учреждении Центрального банка Российской Федерации или в кредитной организации.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850"/>
        <w:jc w:val="both"/>
        <w:rPr>
          <w:rFonts w:ascii="arial"/>
          <w:b w:val="off"/>
          <w:color w:val="000000"/>
          <w:sz w:val="18"/>
          <w:lang w:val="en-US"/>
        </w:rPr>
      </w:pPr>
      <w:r>
        <w:rPr>
          <w:rFonts w:ascii="arial"/>
          <w:b w:val="off"/>
          <w:color w:val="000000"/>
          <w:sz w:val="18"/>
          <w:rtl w:val="off"/>
          <w:lang w:val="en-US"/>
        </w:rPr>
        <w:t>Для осуществления указанных расчетов в Сведениях в</w:t>
      </w:r>
      <w:r>
        <w:rPr>
          <w:rFonts w:ascii="arial"/>
          <w:b w:val="off"/>
          <w:color w:val="000000"/>
          <w:sz w:val="18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"http://base.garant.ru/72144020/a2ef833c70c87542491df8374aff8432/" </w:instrText>
      </w:r>
      <w:r>
        <w:fldChar w:fldCharType="separate"/>
      </w:r>
      <w:r>
        <w:rPr>
          <w:rFonts w:ascii="arial"/>
          <w:b w:val="off"/>
          <w:color w:val="6d6d6d"/>
          <w:sz w:val="18"/>
          <w:u w:val="single"/>
          <w:rtl w:val="off"/>
          <w:lang w:val="en-US"/>
        </w:rPr>
        <w:t>графе 2</w:t>
      </w:r>
      <w:r>
        <w:fldChar w:fldCharType="end"/>
      </w:r>
      <w:r>
        <w:rPr>
          <w:rFonts w:ascii="arial"/>
          <w:b w:val="off"/>
          <w:color w:val="000000"/>
          <w:sz w:val="18"/>
          <w:rtl w:val="off"/>
          <w:lang w:val="en-US"/>
        </w:rPr>
        <w:t xml:space="preserve"> </w:t>
      </w:r>
      <w:r>
        <w:rPr>
          <w:rFonts w:ascii="arial"/>
          <w:b w:val="off"/>
          <w:color w:val="000000"/>
          <w:sz w:val="18"/>
          <w:rtl w:val="off"/>
          <w:lang w:val="en-US"/>
        </w:rPr>
        <w:t>указывается значение "6" в первом разряде кода направления расходования целевых средств в соответствии с Перечнем направлений расходования целевых средств согласно</w:t>
      </w:r>
      <w:r>
        <w:rPr>
          <w:rFonts w:ascii="arial"/>
          <w:b w:val="off"/>
          <w:color w:val="000000"/>
          <w:sz w:val="18"/>
          <w:rtl w:val="off"/>
          <w:lang w:val="en-US"/>
        </w:rPr>
        <w:t xml:space="preserve"> </w:t>
      </w:r>
      <w:r>
        <w:fldChar w:fldCharType="begin"/>
      </w:r>
      <w:r>
        <w:instrText xml:space="preserve"> HYPERLINK "http://base.garant.ru/72144020/a2ef833c70c87542491df8374aff8432/" </w:instrText>
      </w:r>
      <w:r>
        <w:fldChar w:fldCharType="separate"/>
      </w:r>
      <w:r>
        <w:rPr>
          <w:rFonts w:ascii="arial"/>
          <w:b w:val="off"/>
          <w:color w:val="6d6d6d"/>
          <w:sz w:val="18"/>
          <w:u w:val="single"/>
          <w:rtl w:val="off"/>
          <w:lang w:val="en-US"/>
        </w:rPr>
        <w:t>приложению N 4</w:t>
      </w:r>
      <w:r>
        <w:fldChar w:fldCharType="end"/>
      </w:r>
      <w:r>
        <w:rPr>
          <w:rFonts w:ascii="arial"/>
          <w:b w:val="off"/>
          <w:color w:val="000000"/>
          <w:sz w:val="18"/>
          <w:rtl w:val="off"/>
          <w:lang w:val="en-US"/>
        </w:rPr>
        <w:t xml:space="preserve"> </w:t>
      </w:r>
      <w:r>
        <w:rPr>
          <w:rFonts w:ascii="arial"/>
          <w:b w:val="off"/>
          <w:color w:val="000000"/>
          <w:sz w:val="18"/>
          <w:rtl w:val="off"/>
          <w:lang w:val="en-US"/>
        </w:rPr>
        <w:t>к Порядку N 259н.</w:t>
      </w:r>
    </w:p>
    <w:p>
      <w:pPr>
        <w:pBdr>
          <w:top w:val="none" w:sz="4"/>
          <w:left w:val="none" w:sz="4"/>
          <w:bottom w:val="none" w:sz="4"/>
          <w:right w:val="none" w:sz="4"/>
          <w:between w:val="none" w:sz="4"/>
          <w:bar w:val="none" w:sz="4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b/>
          <w:color w:val="000000"/>
          <w:sz w:val="18"/>
          <w:lang w:val="en-US"/>
        </w:rPr>
      </w:pPr>
      <w:r>
        <w:rPr>
          <w:rFonts w:ascii="arial"/>
          <w:b/>
          <w:color w:val="000000"/>
          <w:sz w:val="18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/>
          <w:left w:val="single" w:color="000000" w:sz="6"/>
          <w:bottom w:val="single" w:color="000000" w:sz="6"/>
          <w:right w:val="single" w:color="000000" w:sz="6"/>
          <w:insideH w:val="single" w:color="000000" w:sz="6"/>
          <w:insideV w:val="single" w:color="000000" w:sz="6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r>
        <w:trPr>
          <w:jc w:val="left"/>
        </w:trPr>
        <w:tc>
          <w:tcPr>
            <w:cnfStyle w:val="100010000000"/>
            <w:tcW w:w="0" w:type="auto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top"/>
          </w:tcPr>
          <w:p>
            <w:pPr>
              <w:pBdr>
                <w:top w:val="none" w:sz="4"/>
                <w:left w:val="none" w:sz="4"/>
                <w:bottom w:val="none" w:sz="4"/>
                <w:right w:val="none" w:sz="4"/>
                <w:between w:val="none" w:sz="4"/>
                <w:bar w:val="none" w:sz="4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Заместитель Министра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  <w:r>
              <w:rPr>
                <w:rFonts w:ascii="Segoe UI"/>
                <w:color w:val="000000"/>
                <w:sz w:val="18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финансов Российской Федерации</w:t>
            </w:r>
          </w:p>
        </w:tc>
        <w:tc>
          <w:tcPr>
            <w:cnfStyle w:val="100001000000"/>
            <w:tcW w:w="0" w:type="auto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top"/>
          </w:tcPr>
          <w:p>
            <w:pPr>
              <w:pBdr>
                <w:top w:val="none" w:sz="4"/>
                <w:left w:val="none" w:sz="4"/>
                <w:bottom w:val="none" w:sz="4"/>
                <w:right w:val="none" w:sz="4"/>
                <w:between w:val="none" w:sz="4"/>
                <w:bar w:val="none" w:sz="4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А.М. Лавров</w:t>
            </w:r>
          </w:p>
        </w:tc>
      </w:tr>
      <w:tr>
        <w:trPr>
          <w:jc w:val="left"/>
        </w:trPr>
        <w:tc>
          <w:tcPr>
            <w:cnfStyle w:val="000010000000"/>
            <w:tcW w:w="0" w:type="auto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top"/>
          </w:tcPr>
          <w:p>
            <w:pPr>
              <w:pBdr>
                <w:top w:val="none" w:sz="4"/>
                <w:left w:val="none" w:sz="4"/>
                <w:bottom w:val="none" w:sz="4"/>
                <w:right w:val="none" w:sz="4"/>
                <w:between w:val="none" w:sz="4"/>
                <w:bar w:val="none" w:sz="4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color w:val="000000"/>
                <w:sz w:val="18"/>
                <w:lang w:val="en-US"/>
              </w:rPr>
            </w:pPr>
            <w:r>
              <w:rPr>
                <w:rFonts w:ascii="arial"/>
                <w:b/>
                <w:color w:val="000000"/>
                <w:sz w:val="18"/>
                <w:rtl w:val="off"/>
                <w:lang w:val="en-US"/>
              </w:rPr>
              <w:t xml:space="preserve"> </w:t>
            </w:r>
          </w:p>
          <w:p>
            <w:pPr>
              <w:pBdr>
                <w:top w:val="none" w:sz="4"/>
                <w:left w:val="none" w:sz="4"/>
                <w:bottom w:val="none" w:sz="4"/>
                <w:right w:val="none" w:sz="4"/>
                <w:between w:val="none" w:sz="4"/>
                <w:bar w:val="none" w:sz="4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И.о. руководителя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 </w:t>
            </w:r>
            <w:r>
              <w:rPr>
                <w:rFonts w:ascii="Segoe UI"/>
                <w:color w:val="000000"/>
                <w:sz w:val="18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Федерального казначейства</w:t>
            </w:r>
          </w:p>
        </w:tc>
        <w:tc>
          <w:tcPr>
            <w:cnfStyle w:val="000001000000"/>
            <w:tcW w:w="0" w:type="auto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top"/>
          </w:tcPr>
          <w:p>
            <w:pPr>
              <w:pBdr>
                <w:top w:val="none" w:sz="4"/>
                <w:left w:val="none" w:sz="4"/>
                <w:bottom w:val="none" w:sz="4"/>
                <w:right w:val="none" w:sz="4"/>
                <w:between w:val="none" w:sz="4"/>
                <w:bar w:val="none" w:sz="4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С.Е. Прокофьев</w:t>
            </w:r>
          </w:p>
        </w:tc>
      </w:tr>
      <w:tr>
        <w:trPr/>
        <w:tc>
          <w:tcPr/>
          <w:p>
            <w:pPr>
              <w:pBdr>
                <w:top w:val="none" w:sz="4"/>
                <w:left w:val="none" w:sz="4"/>
                <w:bottom w:val="none" w:sz="4"/>
                <w:right w:val="none" w:sz="4"/>
                <w:between w:val="none" w:sz="4"/>
                <w:bar w:val="none" w:sz="4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</w:p>
        </w:tc>
      </w:tr>
    </w:tbl>
    <w:p/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arial">
    <w:charset w:val="00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4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</cp:coreProperties>
</file>