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DA0" w:rsidRPr="00A05DA0" w:rsidRDefault="00A05DA0" w:rsidP="00A05DA0">
      <w:pPr>
        <w:spacing w:after="0" w:line="240" w:lineRule="auto"/>
        <w:jc w:val="center"/>
        <w:rPr>
          <w:rFonts w:ascii="Verdana" w:eastAsia="Times New Roman" w:hAnsi="Verdana" w:cs="Times New Roman"/>
          <w:b/>
          <w:bCs/>
          <w:sz w:val="21"/>
          <w:szCs w:val="21"/>
          <w:lang w:eastAsia="ru-RU"/>
        </w:rPr>
      </w:pPr>
      <w:r w:rsidRPr="00A05DA0">
        <w:rPr>
          <w:rFonts w:ascii="Arial" w:eastAsia="Times New Roman" w:hAnsi="Arial" w:cs="Arial"/>
          <w:b/>
          <w:bCs/>
          <w:sz w:val="24"/>
          <w:szCs w:val="24"/>
          <w:lang w:eastAsia="ru-RU"/>
        </w:rPr>
        <w:t>МИНИСТЕРСТВО ФИНАНСОВ РОССИЙСКОЙ ФЕДЕРАЦИИ</w:t>
      </w:r>
    </w:p>
    <w:p w:rsidR="00A05DA0" w:rsidRPr="00A05DA0" w:rsidRDefault="00A05DA0" w:rsidP="00A05DA0">
      <w:pPr>
        <w:spacing w:after="0" w:line="240" w:lineRule="auto"/>
        <w:jc w:val="center"/>
        <w:rPr>
          <w:rFonts w:ascii="Verdana" w:eastAsia="Times New Roman" w:hAnsi="Verdana" w:cs="Times New Roman"/>
          <w:b/>
          <w:bCs/>
          <w:sz w:val="21"/>
          <w:szCs w:val="21"/>
          <w:lang w:eastAsia="ru-RU"/>
        </w:rPr>
      </w:pPr>
      <w:r w:rsidRPr="00A05DA0">
        <w:rPr>
          <w:rFonts w:ascii="Arial" w:eastAsia="Times New Roman" w:hAnsi="Arial" w:cs="Arial"/>
          <w:b/>
          <w:bCs/>
          <w:sz w:val="24"/>
          <w:szCs w:val="24"/>
          <w:lang w:eastAsia="ru-RU"/>
        </w:rPr>
        <w:t> </w:t>
      </w:r>
    </w:p>
    <w:p w:rsidR="00A05DA0" w:rsidRPr="00A05DA0" w:rsidRDefault="00A05DA0" w:rsidP="00A05DA0">
      <w:pPr>
        <w:spacing w:after="0" w:line="240" w:lineRule="auto"/>
        <w:jc w:val="center"/>
        <w:rPr>
          <w:rFonts w:ascii="Verdana" w:eastAsia="Times New Roman" w:hAnsi="Verdana" w:cs="Times New Roman"/>
          <w:b/>
          <w:bCs/>
          <w:sz w:val="21"/>
          <w:szCs w:val="21"/>
          <w:lang w:eastAsia="ru-RU"/>
        </w:rPr>
      </w:pPr>
      <w:bookmarkStart w:id="0" w:name="p22"/>
      <w:bookmarkEnd w:id="0"/>
      <w:r w:rsidRPr="00A05DA0">
        <w:rPr>
          <w:rFonts w:ascii="Arial" w:eastAsia="Times New Roman" w:hAnsi="Arial" w:cs="Arial"/>
          <w:b/>
          <w:bCs/>
          <w:sz w:val="24"/>
          <w:szCs w:val="24"/>
          <w:lang w:eastAsia="ru-RU"/>
        </w:rPr>
        <w:t>ПИСЬМО</w:t>
      </w:r>
    </w:p>
    <w:p w:rsidR="00A05DA0" w:rsidRPr="00A05DA0" w:rsidRDefault="00A05DA0" w:rsidP="00A05DA0">
      <w:pPr>
        <w:spacing w:after="0" w:line="240" w:lineRule="auto"/>
        <w:jc w:val="center"/>
        <w:rPr>
          <w:rFonts w:ascii="Verdana" w:eastAsia="Times New Roman" w:hAnsi="Verdana" w:cs="Times New Roman"/>
          <w:b/>
          <w:bCs/>
          <w:sz w:val="21"/>
          <w:szCs w:val="21"/>
          <w:lang w:eastAsia="ru-RU"/>
        </w:rPr>
      </w:pPr>
      <w:r w:rsidRPr="00A05DA0">
        <w:rPr>
          <w:rFonts w:ascii="Arial" w:eastAsia="Times New Roman" w:hAnsi="Arial" w:cs="Arial"/>
          <w:b/>
          <w:bCs/>
          <w:sz w:val="24"/>
          <w:szCs w:val="24"/>
          <w:lang w:eastAsia="ru-RU"/>
        </w:rPr>
        <w:t>от 16 августа 2019 г. N 09-04-06/62906</w:t>
      </w:r>
    </w:p>
    <w:p w:rsidR="00A05DA0" w:rsidRPr="00A05DA0" w:rsidRDefault="00A05DA0" w:rsidP="00A05DA0">
      <w:pPr>
        <w:spacing w:after="0" w:line="240" w:lineRule="auto"/>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 </w:t>
      </w:r>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Министерство финансов Российской Федерации в соответствии с письмом Федерального казначейства от 31 июля 2019 г. 058-03-09/16237 по вопросу правомерности санкционирования территориальными органами Федерального казначейства расходов получателей бюджетных средств по заключенному в рамках государственного (муниципального) контракта договору цессии сообщает.</w:t>
      </w:r>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 xml:space="preserve">Частью 1 статьи 2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 законодательство о контрактной системе </w:t>
      </w:r>
      <w:proofErr w:type="gramStart"/>
      <w:r w:rsidRPr="00A05DA0">
        <w:rPr>
          <w:rFonts w:ascii="Times New Roman" w:eastAsia="Times New Roman" w:hAnsi="Times New Roman" w:cs="Times New Roman"/>
          <w:sz w:val="24"/>
          <w:szCs w:val="24"/>
          <w:lang w:eastAsia="ru-RU"/>
        </w:rPr>
        <w:t>основывается</w:t>
      </w:r>
      <w:proofErr w:type="gramEnd"/>
      <w:r w:rsidRPr="00A05DA0">
        <w:rPr>
          <w:rFonts w:ascii="Times New Roman" w:eastAsia="Times New Roman" w:hAnsi="Times New Roman" w:cs="Times New Roman"/>
          <w:sz w:val="24"/>
          <w:szCs w:val="24"/>
          <w:lang w:eastAsia="ru-RU"/>
        </w:rPr>
        <w:t xml:space="preserve"> в том числе на положениях Гражданского кодекса Российской Федерации и Бюджетного кодекса Российской Федерации (далее соответственно - Гражданский кодекс, Бюджетный кодекс).</w:t>
      </w:r>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Согласно статье 432 Гражданского кодекса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Частью 2 статьи 34 Федерального закона N 44-ФЗ установлено, что при заключении и исполнении контракта изменение его условий не допускается, за исключением случаев, предусмотренных указанной статьей и статьей 95 Федерального закона N 44-ФЗ.</w:t>
      </w:r>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 xml:space="preserve">Согласно подпункту 1 части 13 статьи 34 Федерального закона N 44-ФЗ в контракт </w:t>
      </w:r>
      <w:proofErr w:type="gramStart"/>
      <w:r w:rsidRPr="00A05DA0">
        <w:rPr>
          <w:rFonts w:ascii="Times New Roman" w:eastAsia="Times New Roman" w:hAnsi="Times New Roman" w:cs="Times New Roman"/>
          <w:sz w:val="24"/>
          <w:szCs w:val="24"/>
          <w:lang w:eastAsia="ru-RU"/>
        </w:rPr>
        <w:t>включается</w:t>
      </w:r>
      <w:proofErr w:type="gramEnd"/>
      <w:r w:rsidRPr="00A05DA0">
        <w:rPr>
          <w:rFonts w:ascii="Times New Roman" w:eastAsia="Times New Roman" w:hAnsi="Times New Roman" w:cs="Times New Roman"/>
          <w:sz w:val="24"/>
          <w:szCs w:val="24"/>
          <w:lang w:eastAsia="ru-RU"/>
        </w:rPr>
        <w:t xml:space="preserve"> в том числе обязательное условие о порядке и сроках оплаты товара, работы или услуги.</w:t>
      </w:r>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Таким образом, условие о порядке оплаты товара, работы или услуги, включая платежные реквизиты, которые указаны в государственном (муниципальном) контракте, является существенным и в силу положений, определенных законодательством о контрактной системе в сфере закупок товаров, работ, услуг для обеспечения государственных и муниципальных нужд, не может быть изменено.</w:t>
      </w:r>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 xml:space="preserve">Кроме того, частью 5 статьи 95 Федерального закона N 44-ФЗ установлено, что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 </w:t>
      </w:r>
      <w:proofErr w:type="gramStart"/>
      <w:r w:rsidRPr="00A05DA0">
        <w:rPr>
          <w:rFonts w:ascii="Times New Roman" w:eastAsia="Times New Roman" w:hAnsi="Times New Roman" w:cs="Times New Roman"/>
          <w:sz w:val="24"/>
          <w:szCs w:val="24"/>
          <w:lang w:eastAsia="ru-RU"/>
        </w:rPr>
        <w:t>Необходимо отметить, что в соответствии с положениями статьи 6 Бюджетного кодекса обусловленные договором (государственным (муниципальным) контрактом) расходные обязательства являются обязанностью публично-правового образования или действующего от его имени казенного учреждения, органов государственной власти (государственных органов), органов местного самоуправления (муниципальных органов) предоставить физическому или юридическому лицу средства из соответствующего бюджета бюджетной системы Российской Федерации.</w:t>
      </w:r>
      <w:proofErr w:type="gramEnd"/>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Таким образом, государственный (муниципальный) контракт хотя и является формой двусторонней сделки, но правоотношения, возникающие при заключении и исполнении такого договора, регулируются не только гражданским законодательством, но и бюджетным законодательством Российской Федерации, законодательством о контрактной системе.</w:t>
      </w:r>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lastRenderedPageBreak/>
        <w:t>Так, оплата государственного (муниципального) контракта является исполнением бюджета по расходам и определяется бюджетным законодательством Российской Федерации.</w:t>
      </w:r>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В соответствии с положениями пункта 1 статьи 219 Бюджетного кодекса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Бюджетного кодекса.</w:t>
      </w:r>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Положениями пункта 2 статьи 219 Бюджетного кодекса исполнение бюджетов по расходам предусматривает: принятие и учет бюджетных и денежных обязательств; подтверждение денежных обязательств; санкционирование оплаты денежных обязательств; подтверждение исполнения денежных обязательств.</w:t>
      </w:r>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Пунктом 3 статьи 219 Бюджетного кодекса предусмотрено, что получатель бюджетных сре</w:t>
      </w:r>
      <w:proofErr w:type="gramStart"/>
      <w:r w:rsidRPr="00A05DA0">
        <w:rPr>
          <w:rFonts w:ascii="Times New Roman" w:eastAsia="Times New Roman" w:hAnsi="Times New Roman" w:cs="Times New Roman"/>
          <w:sz w:val="24"/>
          <w:szCs w:val="24"/>
          <w:lang w:eastAsia="ru-RU"/>
        </w:rPr>
        <w:t>дств пр</w:t>
      </w:r>
      <w:proofErr w:type="gramEnd"/>
      <w:r w:rsidRPr="00A05DA0">
        <w:rPr>
          <w:rFonts w:ascii="Times New Roman" w:eastAsia="Times New Roman" w:hAnsi="Times New Roman" w:cs="Times New Roman"/>
          <w:sz w:val="24"/>
          <w:szCs w:val="24"/>
          <w:lang w:eastAsia="ru-RU"/>
        </w:rPr>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proofErr w:type="gramStart"/>
      <w:r w:rsidRPr="00A05DA0">
        <w:rPr>
          <w:rFonts w:ascii="Times New Roman" w:eastAsia="Times New Roman" w:hAnsi="Times New Roman" w:cs="Times New Roman"/>
          <w:sz w:val="24"/>
          <w:szCs w:val="24"/>
          <w:lang w:eastAsia="ru-RU"/>
        </w:rPr>
        <w:t>Обращаем внимание, что Федеральным законом от 26 июля 2019 г. N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(далее - Федеральный закон N 199-ФЗ) внесены изменения в пункт 5 статьи 219 Бюджетного кодекса, вступившие в силу 6 августа 2019 года.</w:t>
      </w:r>
      <w:proofErr w:type="gramEnd"/>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proofErr w:type="gramStart"/>
      <w:r w:rsidRPr="00A05DA0">
        <w:rPr>
          <w:rFonts w:ascii="Times New Roman" w:eastAsia="Times New Roman" w:hAnsi="Times New Roman" w:cs="Times New Roman"/>
          <w:sz w:val="24"/>
          <w:szCs w:val="24"/>
          <w:lang w:eastAsia="ru-RU"/>
        </w:rPr>
        <w:t>На основании пункта 5 статьи 219 Бюджетного кодекса в редакции указанного федерального закона 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пунктом 1 статьи 219 Бюджетного кодекса</w:t>
      </w:r>
      <w:proofErr w:type="gramEnd"/>
      <w:r w:rsidRPr="00A05DA0">
        <w:rPr>
          <w:rFonts w:ascii="Times New Roman" w:eastAsia="Times New Roman" w:hAnsi="Times New Roman" w:cs="Times New Roman"/>
          <w:sz w:val="24"/>
          <w:szCs w:val="24"/>
          <w:lang w:eastAsia="ru-RU"/>
        </w:rPr>
        <w:t xml:space="preserve">, в том числе контроль </w:t>
      </w:r>
      <w:proofErr w:type="gramStart"/>
      <w:r w:rsidRPr="00A05DA0">
        <w:rPr>
          <w:rFonts w:ascii="Times New Roman" w:eastAsia="Times New Roman" w:hAnsi="Times New Roman" w:cs="Times New Roman"/>
          <w:sz w:val="24"/>
          <w:szCs w:val="24"/>
          <w:lang w:eastAsia="ru-RU"/>
        </w:rPr>
        <w:t>за</w:t>
      </w:r>
      <w:proofErr w:type="gramEnd"/>
      <w:r w:rsidRPr="00A05DA0">
        <w:rPr>
          <w:rFonts w:ascii="Times New Roman" w:eastAsia="Times New Roman" w:hAnsi="Times New Roman" w:cs="Times New Roman"/>
          <w:sz w:val="24"/>
          <w:szCs w:val="24"/>
          <w:lang w:eastAsia="ru-RU"/>
        </w:rPr>
        <w:t>:</w:t>
      </w:r>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соответствием информации о денежном обязательстве информации о поставленном на учет соответствующем бюджетном обязательстве;</w:t>
      </w:r>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соответствием информации, указанной в платежном документе для оплаты денежного обязательства, информации о денежном обязательстве;</w:t>
      </w:r>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наличием документов, подтверждающих возникновение денежного обязательства.</w:t>
      </w:r>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В случае</w:t>
      </w:r>
      <w:proofErr w:type="gramStart"/>
      <w:r w:rsidRPr="00A05DA0">
        <w:rPr>
          <w:rFonts w:ascii="Times New Roman" w:eastAsia="Times New Roman" w:hAnsi="Times New Roman" w:cs="Times New Roman"/>
          <w:sz w:val="24"/>
          <w:szCs w:val="24"/>
          <w:lang w:eastAsia="ru-RU"/>
        </w:rPr>
        <w:t>,</w:t>
      </w:r>
      <w:proofErr w:type="gramEnd"/>
      <w:r w:rsidRPr="00A05DA0">
        <w:rPr>
          <w:rFonts w:ascii="Times New Roman" w:eastAsia="Times New Roman" w:hAnsi="Times New Roman" w:cs="Times New Roman"/>
          <w:sz w:val="24"/>
          <w:szCs w:val="24"/>
          <w:lang w:eastAsia="ru-RU"/>
        </w:rPr>
        <w:t xml:space="preserve">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w:t>
      </w:r>
      <w:proofErr w:type="gramStart"/>
      <w:r w:rsidRPr="00A05DA0">
        <w:rPr>
          <w:rFonts w:ascii="Times New Roman" w:eastAsia="Times New Roman" w:hAnsi="Times New Roman" w:cs="Times New Roman"/>
          <w:sz w:val="24"/>
          <w:szCs w:val="24"/>
          <w:lang w:eastAsia="ru-RU"/>
        </w:rPr>
        <w:t>контракта (абзац восьмой пункта 5 статьи 219 Бюджетного кодекса (в редакции Федерального закона N 199-ФЗ).</w:t>
      </w:r>
      <w:proofErr w:type="gramEnd"/>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При этом бюджетным законодательством Российской Федерации не определен порядок санкционирования оплаты денежных обязательств, возникающих из государственных (муниципальных) контрактов, третьему лицу, не являющемуся поставщиком (подрядчиком, исполнителем) по такому контракту.</w:t>
      </w:r>
    </w:p>
    <w:p w:rsidR="00A05DA0" w:rsidRPr="00A05DA0" w:rsidRDefault="00A05DA0" w:rsidP="00A05DA0">
      <w:pPr>
        <w:spacing w:after="0" w:line="240" w:lineRule="auto"/>
        <w:ind w:firstLine="540"/>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 xml:space="preserve">Учитывая </w:t>
      </w:r>
      <w:proofErr w:type="gramStart"/>
      <w:r w:rsidRPr="00A05DA0">
        <w:rPr>
          <w:rFonts w:ascii="Times New Roman" w:eastAsia="Times New Roman" w:hAnsi="Times New Roman" w:cs="Times New Roman"/>
          <w:sz w:val="24"/>
          <w:szCs w:val="24"/>
          <w:lang w:eastAsia="ru-RU"/>
        </w:rPr>
        <w:t>изложенное</w:t>
      </w:r>
      <w:proofErr w:type="gramEnd"/>
      <w:r w:rsidRPr="00A05DA0">
        <w:rPr>
          <w:rFonts w:ascii="Times New Roman" w:eastAsia="Times New Roman" w:hAnsi="Times New Roman" w:cs="Times New Roman"/>
          <w:sz w:val="24"/>
          <w:szCs w:val="24"/>
          <w:lang w:eastAsia="ru-RU"/>
        </w:rPr>
        <w:t>, до внесения соответствующих изменений в указанные нормативные правовые акты оплата по государственному (муниципальному) контракту возможна только поставщику (подрядчику, исполнителю), платежные реквизиты которого указаны в условиях контракта.</w:t>
      </w:r>
    </w:p>
    <w:p w:rsidR="00A05DA0" w:rsidRPr="00A05DA0" w:rsidRDefault="00A05DA0" w:rsidP="00A05DA0">
      <w:pPr>
        <w:spacing w:after="0" w:line="240" w:lineRule="auto"/>
        <w:jc w:val="both"/>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lastRenderedPageBreak/>
        <w:t> </w:t>
      </w:r>
    </w:p>
    <w:p w:rsidR="00A05DA0" w:rsidRPr="00A05DA0" w:rsidRDefault="00A05DA0" w:rsidP="00A05DA0">
      <w:pPr>
        <w:spacing w:after="0" w:line="240" w:lineRule="auto"/>
        <w:jc w:val="right"/>
        <w:rPr>
          <w:rFonts w:ascii="Verdana" w:eastAsia="Times New Roman" w:hAnsi="Verdana" w:cs="Times New Roman"/>
          <w:sz w:val="21"/>
          <w:szCs w:val="21"/>
          <w:lang w:eastAsia="ru-RU"/>
        </w:rPr>
      </w:pPr>
      <w:r w:rsidRPr="00A05DA0">
        <w:rPr>
          <w:rFonts w:ascii="Times New Roman" w:eastAsia="Times New Roman" w:hAnsi="Times New Roman" w:cs="Times New Roman"/>
          <w:sz w:val="24"/>
          <w:szCs w:val="24"/>
          <w:lang w:eastAsia="ru-RU"/>
        </w:rPr>
        <w:t>А.М.ЛАВРОВ</w:t>
      </w:r>
    </w:p>
    <w:p w:rsidR="00B01B94" w:rsidRDefault="00B01B94"/>
    <w:sectPr w:rsidR="00B01B94"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05DA0"/>
    <w:rsid w:val="0009509E"/>
    <w:rsid w:val="003636AE"/>
    <w:rsid w:val="009E1445"/>
    <w:rsid w:val="00A05DA0"/>
    <w:rsid w:val="00B0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5DA0"/>
    <w:rPr>
      <w:color w:val="0000FF"/>
      <w:u w:val="single"/>
    </w:rPr>
  </w:style>
</w:styles>
</file>

<file path=word/webSettings.xml><?xml version="1.0" encoding="utf-8"?>
<w:webSettings xmlns:r="http://schemas.openxmlformats.org/officeDocument/2006/relationships" xmlns:w="http://schemas.openxmlformats.org/wordprocessingml/2006/main">
  <w:divs>
    <w:div w:id="96943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1048</Words>
  <Characters>5978</Characters>
  <Application>Microsoft Office Word</Application>
  <DocSecurity>0</DocSecurity>
  <Lines>49</Lines>
  <Paragraphs>14</Paragraphs>
  <ScaleCrop>false</ScaleCrop>
  <Company>Krokoz™</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2019-09-03T04:09:00Z</dcterms:created>
  <dcterms:modified xsi:type="dcterms:W3CDTF">2019-09-03T04:10:00Z</dcterms:modified>
</cp:coreProperties>
</file>