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0D" w:rsidRPr="007F040D" w:rsidRDefault="007F040D" w:rsidP="007F040D">
      <w:pPr>
        <w:spacing w:after="0" w:line="240" w:lineRule="auto"/>
        <w:jc w:val="center"/>
        <w:rPr>
          <w:rFonts w:ascii="Verdana" w:eastAsia="Times New Roman" w:hAnsi="Verdana" w:cs="Times New Roman"/>
          <w:b/>
          <w:bCs/>
          <w:sz w:val="21"/>
          <w:szCs w:val="21"/>
          <w:lang w:eastAsia="ru-RU"/>
        </w:rPr>
      </w:pPr>
      <w:r w:rsidRPr="007F040D">
        <w:rPr>
          <w:rFonts w:ascii="Arial" w:eastAsia="Times New Roman" w:hAnsi="Arial" w:cs="Arial"/>
          <w:b/>
          <w:bCs/>
          <w:sz w:val="24"/>
          <w:szCs w:val="24"/>
          <w:lang w:eastAsia="ru-RU"/>
        </w:rPr>
        <w:t>МИНИСТЕРСТВО ФИНАНСОВ РОССИЙСКОЙ ФЕДЕРАЦИИ</w:t>
      </w:r>
    </w:p>
    <w:p w:rsidR="007F040D" w:rsidRPr="007F040D" w:rsidRDefault="007F040D" w:rsidP="007F040D">
      <w:pPr>
        <w:spacing w:after="0" w:line="240" w:lineRule="auto"/>
        <w:jc w:val="center"/>
        <w:rPr>
          <w:rFonts w:ascii="Verdana" w:eastAsia="Times New Roman" w:hAnsi="Verdana" w:cs="Times New Roman"/>
          <w:b/>
          <w:bCs/>
          <w:sz w:val="21"/>
          <w:szCs w:val="21"/>
          <w:lang w:eastAsia="ru-RU"/>
        </w:rPr>
      </w:pPr>
      <w:r w:rsidRPr="007F040D">
        <w:rPr>
          <w:rFonts w:ascii="Arial" w:eastAsia="Times New Roman" w:hAnsi="Arial" w:cs="Arial"/>
          <w:b/>
          <w:bCs/>
          <w:sz w:val="24"/>
          <w:szCs w:val="24"/>
          <w:lang w:eastAsia="ru-RU"/>
        </w:rPr>
        <w:t> </w:t>
      </w:r>
    </w:p>
    <w:p w:rsidR="007F040D" w:rsidRPr="007F040D" w:rsidRDefault="007F040D" w:rsidP="007F040D">
      <w:pPr>
        <w:spacing w:after="0" w:line="240" w:lineRule="auto"/>
        <w:jc w:val="center"/>
        <w:rPr>
          <w:rFonts w:ascii="Verdana" w:eastAsia="Times New Roman" w:hAnsi="Verdana" w:cs="Times New Roman"/>
          <w:b/>
          <w:bCs/>
          <w:sz w:val="21"/>
          <w:szCs w:val="21"/>
          <w:lang w:eastAsia="ru-RU"/>
        </w:rPr>
      </w:pPr>
      <w:r w:rsidRPr="007F040D">
        <w:rPr>
          <w:rFonts w:ascii="Arial" w:eastAsia="Times New Roman" w:hAnsi="Arial" w:cs="Arial"/>
          <w:b/>
          <w:bCs/>
          <w:sz w:val="24"/>
          <w:szCs w:val="24"/>
          <w:lang w:eastAsia="ru-RU"/>
        </w:rPr>
        <w:t>ПИСЬМО</w:t>
      </w:r>
    </w:p>
    <w:p w:rsidR="007F040D" w:rsidRPr="007F040D" w:rsidRDefault="007F040D" w:rsidP="007F040D">
      <w:pPr>
        <w:spacing w:after="0" w:line="240" w:lineRule="auto"/>
        <w:jc w:val="center"/>
        <w:rPr>
          <w:rFonts w:ascii="Verdana" w:eastAsia="Times New Roman" w:hAnsi="Verdana" w:cs="Times New Roman"/>
          <w:b/>
          <w:bCs/>
          <w:sz w:val="21"/>
          <w:szCs w:val="21"/>
          <w:lang w:eastAsia="ru-RU"/>
        </w:rPr>
      </w:pPr>
      <w:r w:rsidRPr="007F040D">
        <w:rPr>
          <w:rFonts w:ascii="Arial" w:eastAsia="Times New Roman" w:hAnsi="Arial" w:cs="Arial"/>
          <w:b/>
          <w:bCs/>
          <w:sz w:val="24"/>
          <w:szCs w:val="24"/>
          <w:lang w:eastAsia="ru-RU"/>
        </w:rPr>
        <w:t>от 5 марта 2020 г. N 24-01-08/16645</w:t>
      </w:r>
    </w:p>
    <w:p w:rsidR="007F040D" w:rsidRPr="007F040D" w:rsidRDefault="007F040D" w:rsidP="007F040D">
      <w:pPr>
        <w:spacing w:after="0" w:line="240" w:lineRule="auto"/>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 </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proofErr w:type="gramStart"/>
      <w:r w:rsidRPr="007F040D">
        <w:rPr>
          <w:rFonts w:ascii="Times New Roman" w:eastAsia="Times New Roman" w:hAnsi="Times New Roman" w:cs="Times New Roman"/>
          <w:sz w:val="24"/>
          <w:szCs w:val="24"/>
          <w:lang w:eastAsia="ru-RU"/>
        </w:rPr>
        <w:t>Департамент бюджетной политики в сфере контрактной системы, рассмотрев обращения по вопросу применения положений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в части порядка нормирования и расчета начальной цены единицы товара, работы, услуги, сообщает следующее.</w:t>
      </w:r>
      <w:proofErr w:type="gramEnd"/>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В соответствии с Положением о Министерстве финансов Российской Федерации, утвержденным постановлением Правительства Российской Федерации от 30.06.2004 N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proofErr w:type="gramStart"/>
      <w:r w:rsidRPr="007F040D">
        <w:rPr>
          <w:rFonts w:ascii="Times New Roman" w:eastAsia="Times New Roman" w:hAnsi="Times New Roman" w:cs="Times New Roman"/>
          <w:sz w:val="24"/>
          <w:szCs w:val="24"/>
          <w:lang w:eastAsia="ru-RU"/>
        </w:rPr>
        <w:t>Положениями пунктов 11.8 и 12.5 Регламента Министерства финансов Российской Федерации, утвержденного приказом Министерства финансов Российской Федерации от 14.09.2018 N 194н, предусмотрено, что Минфином России не осуществляются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w:t>
      </w:r>
      <w:proofErr w:type="gramEnd"/>
      <w:r w:rsidRPr="007F040D">
        <w:rPr>
          <w:rFonts w:ascii="Times New Roman" w:eastAsia="Times New Roman" w:hAnsi="Times New Roman" w:cs="Times New Roman"/>
          <w:sz w:val="24"/>
          <w:szCs w:val="24"/>
          <w:lang w:eastAsia="ru-RU"/>
        </w:rPr>
        <w:t xml:space="preserve"> для обоснования решения, принятого по обращению.</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Кроме того, в Министерстве, если законодательством Российской Федерации не установлено иное, не рассматриваются по существу обращения по проведению экспертиз договоров, учредительных и иных документов организаций, а также по оценке конкретных хозяйственных ситуаций.</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 xml:space="preserve">Вместе с тем в рамках установленной компетенции отмечаем, что в соответствии с частью 24 статьи 22 Закона N 44-ФЗ, в случае если количество поставляемых товаров, объем подлежащих выполнению работ, оказанию услуг невозможно определить, заказчик с </w:t>
      </w:r>
      <w:proofErr w:type="gramStart"/>
      <w:r w:rsidRPr="007F040D">
        <w:rPr>
          <w:rFonts w:ascii="Times New Roman" w:eastAsia="Times New Roman" w:hAnsi="Times New Roman" w:cs="Times New Roman"/>
          <w:sz w:val="24"/>
          <w:szCs w:val="24"/>
          <w:lang w:eastAsia="ru-RU"/>
        </w:rPr>
        <w:t>учетом</w:t>
      </w:r>
      <w:proofErr w:type="gramEnd"/>
      <w:r w:rsidRPr="007F040D">
        <w:rPr>
          <w:rFonts w:ascii="Times New Roman" w:eastAsia="Times New Roman" w:hAnsi="Times New Roman" w:cs="Times New Roman"/>
          <w:sz w:val="24"/>
          <w:szCs w:val="24"/>
          <w:lang w:eastAsia="ru-RU"/>
        </w:rPr>
        <w:t xml:space="preserve"> установленных в соответствии со статьей 19 Закона N 44-ФЗ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Закона N 44-ФЗ, касающиеся применения начальной (максимальной) цены контракта (далее - НМЦК), в том числе для расчета размера обеспечения заявки или обеспечения исполнения контракта, применяются к максимальному значению цены контракта, если указанным Федеральным законом не установлено иное.</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Таким образом, обоснование и определение начальной цены единицы товара, работы, услуги, начальной суммы цен указанных единиц, максимального значения цены контракта осуществляется заказчиками с учетом применения императивных норм статьи 19 Закона N 44-ФЗ, обязательных для применения заказчиками.</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В этой связи отмечаем, что нормативные затраты - необходимые планируемые денежные средства для осуществления закупки товаров, работ, услуг государственных органов, которые учитываются при представлении и выделении субъектами бюджетного планирования бюджетных ассигнований в порядке, установленном финансовым органом.</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proofErr w:type="gramStart"/>
      <w:r w:rsidRPr="007F040D">
        <w:rPr>
          <w:rFonts w:ascii="Times New Roman" w:eastAsia="Times New Roman" w:hAnsi="Times New Roman" w:cs="Times New Roman"/>
          <w:sz w:val="24"/>
          <w:szCs w:val="24"/>
          <w:lang w:eastAsia="ru-RU"/>
        </w:rPr>
        <w:lastRenderedPageBreak/>
        <w:t>Общие правила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roofErr w:type="gramEnd"/>
      <w:r w:rsidRPr="007F040D">
        <w:rPr>
          <w:rFonts w:ascii="Times New Roman" w:eastAsia="Times New Roman" w:hAnsi="Times New Roman" w:cs="Times New Roman"/>
          <w:sz w:val="24"/>
          <w:szCs w:val="24"/>
          <w:lang w:eastAsia="ru-RU"/>
        </w:rPr>
        <w:t xml:space="preserve"> от 13.10.2014 N 1047 (далее - Правила N 1047) устанавливают порядок определения нормативных затрат на обеспечение функций заказчиков в части закупок товаров, работ и услуг для обоснования в соответствии со статьей 18 Закона N 44-ФЗ объекта и (или) объектов закупки, наименования которых включаются в планы-графики закупок.</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В соответствии с пунктом 2 части 4 статьи 19 Закона N 44-ФЗ и положениями Правил N 1047 высшие исполнительные органы государственной власти субъектов Российской Федерации, местные администрации устанавливают правила определения нормативных затрат государственных органов субъектов Российской Федерации, включая соответственно территориальные органы и подведомственные казенные учреждения (далее - Общие правила).</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Таким образом, государственные органы субъекта Российской Федерации и муниципальные органы утверждают нормативные затраты в соответствии с Общими правилами, а также положениями Правил N 1047.</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proofErr w:type="gramStart"/>
      <w:r w:rsidRPr="007F040D">
        <w:rPr>
          <w:rFonts w:ascii="Times New Roman" w:eastAsia="Times New Roman" w:hAnsi="Times New Roman" w:cs="Times New Roman"/>
          <w:sz w:val="24"/>
          <w:szCs w:val="24"/>
          <w:lang w:eastAsia="ru-RU"/>
        </w:rPr>
        <w:t>На основании положений пункта 2 части 4 статьи 19 Закона N 44-ФЗ постановлением Правительства Российской Федерации от 20.10.2014 N 1084 утверждены правила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w:t>
      </w:r>
      <w:proofErr w:type="gramEnd"/>
      <w:r w:rsidRPr="007F040D">
        <w:rPr>
          <w:rFonts w:ascii="Times New Roman" w:eastAsia="Times New Roman" w:hAnsi="Times New Roman" w:cs="Times New Roman"/>
          <w:sz w:val="24"/>
          <w:szCs w:val="24"/>
          <w:lang w:eastAsia="ru-RU"/>
        </w:rPr>
        <w:t xml:space="preserve">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(далее - Правила N 1084).</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proofErr w:type="gramStart"/>
      <w:r w:rsidRPr="007F040D">
        <w:rPr>
          <w:rFonts w:ascii="Times New Roman" w:eastAsia="Times New Roman" w:hAnsi="Times New Roman" w:cs="Times New Roman"/>
          <w:sz w:val="24"/>
          <w:szCs w:val="24"/>
          <w:lang w:eastAsia="ru-RU"/>
        </w:rPr>
        <w:t>В целях расчета нормативных затрат в соответствии с пунктом 5 Правил N 1084 федеральные государственные заказчики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нормативы, в том числе цены и количества закупаемых товаров, работ, услуг, предусмотренных указанным пунктом.</w:t>
      </w:r>
      <w:proofErr w:type="gramEnd"/>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При этом положениями пункта 23 Правил N 1047 предусмотрено, что норматив цены товаров, работ и услуг, устанавливаемый в формулах расчета, определяется с учетом положений статьи 22 Закона N 44-ФЗ.</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Таким образом, порядок обоснования нормативов цены товаров, работ, услуг, утверждаемых на основании Правил N 1084, установлен положениями статьи 22 Закона N 44-ФЗ.</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В соответствии с пунктом 4 Правил N 1047 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государственных органов субъектов Российской Федерации в рамках исполнения, соответственно, бюджетов субъектов Российской Федерации.</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 xml:space="preserve">Учитывая вышеизложенное, нормативные затраты не устанавливают максимальный размер НМЦК всех закупок, включаемых в план-график закупок, извещение и документацию о закупке. Однако при определении размера НМЦК заказчики не могут </w:t>
      </w:r>
      <w:r w:rsidRPr="007F040D">
        <w:rPr>
          <w:rFonts w:ascii="Times New Roman" w:eastAsia="Times New Roman" w:hAnsi="Times New Roman" w:cs="Times New Roman"/>
          <w:sz w:val="24"/>
          <w:szCs w:val="24"/>
          <w:lang w:eastAsia="ru-RU"/>
        </w:rPr>
        <w:lastRenderedPageBreak/>
        <w:t>превышать объема лимитов бюджетных обязательств, доведенных до государственных органов по каждому виду затрат.</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Кроме того, при определении размера НМЦК заказчики не могут превышать предельный размер требований к закупаемым товарам, работам, услугам, установленных в соответствии со статьей 19 Закона N 44-ФЗ, в случае если такие требования предусматривают установление предельных цен товаров, работ, услуг.</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 xml:space="preserve">В этой связи отмечаем, что при расчете начальной цены единицы товара, работы, услуги, начальной суммы цен указанных единиц, максимального значения цены контракта заказчики вправе как учитывать ранее определенные нормативы цены товара, работы, услуги, так и повторно обосновывать цену с учетом расчетов в соответствии с положениями статьи 22 Закона N 44-ФЗ, при </w:t>
      </w:r>
      <w:proofErr w:type="gramStart"/>
      <w:r w:rsidRPr="007F040D">
        <w:rPr>
          <w:rFonts w:ascii="Times New Roman" w:eastAsia="Times New Roman" w:hAnsi="Times New Roman" w:cs="Times New Roman"/>
          <w:sz w:val="24"/>
          <w:szCs w:val="24"/>
          <w:lang w:eastAsia="ru-RU"/>
        </w:rPr>
        <w:t>этом</w:t>
      </w:r>
      <w:proofErr w:type="gramEnd"/>
      <w:r w:rsidRPr="007F040D">
        <w:rPr>
          <w:rFonts w:ascii="Times New Roman" w:eastAsia="Times New Roman" w:hAnsi="Times New Roman" w:cs="Times New Roman"/>
          <w:sz w:val="24"/>
          <w:szCs w:val="24"/>
          <w:lang w:eastAsia="ru-RU"/>
        </w:rPr>
        <w:t xml:space="preserve"> не превышая предельную цену товаров, работ, услуг (установленную с актами о нормировании).</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Вместе с тем отмечаем, что установленные нормативы цены и количества для расчета нормативных затрат позволяют определить заказчикам как цену, так и количество (объем) поставляемого товара, выполняемой (оказываемой) работы, услуги.</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По вопросу алгоритма расчета НМЦК сообщаем, что в соответствии с положениями статьи 22 Закона N 44-ФЗ установлен порядок определения и расчета начальной (максимальной) цены контракта (далее - НМЦК) и в предусмотренных Законом N 44-ФЗ случаях цены контракта, заключаемого с единственным поставщиком (подрядчиком, исполнителем).</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В соответствии с частью 1 статьи 22 Закона N 44-ФЗ НМЦК обосновывается заказчиком посредством применения следующих методов: метода сопоставимых рыночных цен (анализа рынка), нормативного метода, тарифного метода, проектно-сметного метода, затратного метода.</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В случае применения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proofErr w:type="gramStart"/>
      <w:r w:rsidRPr="007F040D">
        <w:rPr>
          <w:rFonts w:ascii="Times New Roman" w:eastAsia="Times New Roman" w:hAnsi="Times New Roman" w:cs="Times New Roman"/>
          <w:sz w:val="24"/>
          <w:szCs w:val="24"/>
          <w:lang w:eastAsia="ru-RU"/>
        </w:rPr>
        <w:t>Кроме того, в соответствии с частью 5 статьи 22 Закона N 44-ФЗ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указанной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w:t>
      </w:r>
      <w:proofErr w:type="gramEnd"/>
      <w:r w:rsidRPr="007F040D">
        <w:rPr>
          <w:rFonts w:ascii="Times New Roman" w:eastAsia="Times New Roman" w:hAnsi="Times New Roman" w:cs="Times New Roman"/>
          <w:sz w:val="24"/>
          <w:szCs w:val="24"/>
          <w:lang w:eastAsia="ru-RU"/>
        </w:rPr>
        <w:t xml:space="preserve">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 xml:space="preserve">Учитывая </w:t>
      </w:r>
      <w:proofErr w:type="gramStart"/>
      <w:r w:rsidRPr="007F040D">
        <w:rPr>
          <w:rFonts w:ascii="Times New Roman" w:eastAsia="Times New Roman" w:hAnsi="Times New Roman" w:cs="Times New Roman"/>
          <w:sz w:val="24"/>
          <w:szCs w:val="24"/>
          <w:lang w:eastAsia="ru-RU"/>
        </w:rPr>
        <w:t>изложенное</w:t>
      </w:r>
      <w:proofErr w:type="gramEnd"/>
      <w:r w:rsidRPr="007F040D">
        <w:rPr>
          <w:rFonts w:ascii="Times New Roman" w:eastAsia="Times New Roman" w:hAnsi="Times New Roman" w:cs="Times New Roman"/>
          <w:sz w:val="24"/>
          <w:szCs w:val="24"/>
          <w:lang w:eastAsia="ru-RU"/>
        </w:rPr>
        <w:t>, заказчик вправе не только направлять запросы о предоставлении ценовой информации, но и воспользоваться иными источниками получения ценовой информации для определения НМЦК методом сопоставимых рыночных цен, в случае если такая информация соответствует положениям статьи 22 Закона N 44-ФЗ.</w:t>
      </w:r>
    </w:p>
    <w:p w:rsidR="007F040D" w:rsidRPr="007F040D" w:rsidRDefault="007F040D" w:rsidP="007F040D">
      <w:pPr>
        <w:spacing w:after="0" w:line="240" w:lineRule="auto"/>
        <w:ind w:firstLine="540"/>
        <w:jc w:val="both"/>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Кроме того, частью 12 статьи 22 Закона N 44-ФЗ предусмотрено, что в случае невозможности применения для определения НМЦК методов, указанных в части 1 указанной статьи, заказчик вправе применить иные методы. В этом случае в обоснование НМЦК заказчик обязан включить обоснование невозможности применения указанных методов.</w:t>
      </w:r>
    </w:p>
    <w:p w:rsidR="007F040D" w:rsidRPr="007F040D" w:rsidRDefault="007F040D" w:rsidP="007F040D">
      <w:pPr>
        <w:spacing w:after="0" w:line="240" w:lineRule="auto"/>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 </w:t>
      </w:r>
    </w:p>
    <w:p w:rsidR="007F040D" w:rsidRPr="007F040D" w:rsidRDefault="007F040D" w:rsidP="007F040D">
      <w:pPr>
        <w:spacing w:after="0" w:line="240" w:lineRule="auto"/>
        <w:jc w:val="right"/>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lastRenderedPageBreak/>
        <w:t>Заместитель директора Департамента</w:t>
      </w:r>
    </w:p>
    <w:p w:rsidR="007F040D" w:rsidRPr="007F040D" w:rsidRDefault="007F040D" w:rsidP="007F040D">
      <w:pPr>
        <w:spacing w:after="0" w:line="240" w:lineRule="auto"/>
        <w:jc w:val="right"/>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Д.А.ГОТОВЦЕВ</w:t>
      </w:r>
    </w:p>
    <w:p w:rsidR="007F040D" w:rsidRPr="007F040D" w:rsidRDefault="007F040D" w:rsidP="007F040D">
      <w:pPr>
        <w:spacing w:after="0" w:line="240" w:lineRule="auto"/>
        <w:rPr>
          <w:rFonts w:ascii="Verdana" w:eastAsia="Times New Roman" w:hAnsi="Verdana" w:cs="Times New Roman"/>
          <w:sz w:val="21"/>
          <w:szCs w:val="21"/>
          <w:lang w:eastAsia="ru-RU"/>
        </w:rPr>
      </w:pPr>
      <w:r w:rsidRPr="007F040D">
        <w:rPr>
          <w:rFonts w:ascii="Times New Roman" w:eastAsia="Times New Roman" w:hAnsi="Times New Roman" w:cs="Times New Roman"/>
          <w:sz w:val="24"/>
          <w:szCs w:val="24"/>
          <w:lang w:eastAsia="ru-RU"/>
        </w:rPr>
        <w:t>05.03.2020</w:t>
      </w:r>
    </w:p>
    <w:p w:rsidR="00B01B94" w:rsidRPr="007F040D" w:rsidRDefault="00B01B94" w:rsidP="007F040D"/>
    <w:sectPr w:rsidR="00B01B94" w:rsidRPr="007F040D"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E684B"/>
    <w:rsid w:val="00042439"/>
    <w:rsid w:val="00071AC8"/>
    <w:rsid w:val="000C4F19"/>
    <w:rsid w:val="00164109"/>
    <w:rsid w:val="001B2511"/>
    <w:rsid w:val="00333169"/>
    <w:rsid w:val="003636AE"/>
    <w:rsid w:val="00433C06"/>
    <w:rsid w:val="004807C5"/>
    <w:rsid w:val="00490505"/>
    <w:rsid w:val="005E00D5"/>
    <w:rsid w:val="00644A81"/>
    <w:rsid w:val="00690A4F"/>
    <w:rsid w:val="00704255"/>
    <w:rsid w:val="00720C82"/>
    <w:rsid w:val="00747389"/>
    <w:rsid w:val="007473CF"/>
    <w:rsid w:val="00757355"/>
    <w:rsid w:val="007F040D"/>
    <w:rsid w:val="007F5613"/>
    <w:rsid w:val="00811D70"/>
    <w:rsid w:val="008A0876"/>
    <w:rsid w:val="009E1445"/>
    <w:rsid w:val="00A761DE"/>
    <w:rsid w:val="00AC2021"/>
    <w:rsid w:val="00B01B94"/>
    <w:rsid w:val="00B47547"/>
    <w:rsid w:val="00B7267D"/>
    <w:rsid w:val="00BE684B"/>
    <w:rsid w:val="00C13168"/>
    <w:rsid w:val="00D90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2778">
      <w:bodyDiv w:val="1"/>
      <w:marLeft w:val="0"/>
      <w:marRight w:val="0"/>
      <w:marTop w:val="0"/>
      <w:marBottom w:val="0"/>
      <w:divBdr>
        <w:top w:val="none" w:sz="0" w:space="0" w:color="auto"/>
        <w:left w:val="none" w:sz="0" w:space="0" w:color="auto"/>
        <w:bottom w:val="none" w:sz="0" w:space="0" w:color="auto"/>
        <w:right w:val="none" w:sz="0" w:space="0" w:color="auto"/>
      </w:divBdr>
      <w:divsChild>
        <w:div w:id="1272085933">
          <w:marLeft w:val="0"/>
          <w:marRight w:val="0"/>
          <w:marTop w:val="0"/>
          <w:marBottom w:val="0"/>
          <w:divBdr>
            <w:top w:val="none" w:sz="0" w:space="0" w:color="auto"/>
            <w:left w:val="none" w:sz="0" w:space="0" w:color="auto"/>
            <w:bottom w:val="none" w:sz="0" w:space="0" w:color="auto"/>
            <w:right w:val="none" w:sz="0" w:space="0" w:color="auto"/>
          </w:divBdr>
        </w:div>
      </w:divsChild>
    </w:div>
    <w:div w:id="67653342">
      <w:bodyDiv w:val="1"/>
      <w:marLeft w:val="0"/>
      <w:marRight w:val="0"/>
      <w:marTop w:val="0"/>
      <w:marBottom w:val="0"/>
      <w:divBdr>
        <w:top w:val="none" w:sz="0" w:space="0" w:color="auto"/>
        <w:left w:val="none" w:sz="0" w:space="0" w:color="auto"/>
        <w:bottom w:val="none" w:sz="0" w:space="0" w:color="auto"/>
        <w:right w:val="none" w:sz="0" w:space="0" w:color="auto"/>
      </w:divBdr>
      <w:divsChild>
        <w:div w:id="812335370">
          <w:marLeft w:val="0"/>
          <w:marRight w:val="0"/>
          <w:marTop w:val="0"/>
          <w:marBottom w:val="0"/>
          <w:divBdr>
            <w:top w:val="none" w:sz="0" w:space="0" w:color="auto"/>
            <w:left w:val="none" w:sz="0" w:space="0" w:color="auto"/>
            <w:bottom w:val="none" w:sz="0" w:space="0" w:color="auto"/>
            <w:right w:val="none" w:sz="0" w:space="0" w:color="auto"/>
          </w:divBdr>
        </w:div>
        <w:div w:id="751775414">
          <w:marLeft w:val="0"/>
          <w:marRight w:val="0"/>
          <w:marTop w:val="0"/>
          <w:marBottom w:val="0"/>
          <w:divBdr>
            <w:top w:val="none" w:sz="0" w:space="0" w:color="auto"/>
            <w:left w:val="none" w:sz="0" w:space="0" w:color="auto"/>
            <w:bottom w:val="none" w:sz="0" w:space="0" w:color="auto"/>
            <w:right w:val="none" w:sz="0" w:space="0" w:color="auto"/>
          </w:divBdr>
        </w:div>
        <w:div w:id="197741103">
          <w:marLeft w:val="0"/>
          <w:marRight w:val="0"/>
          <w:marTop w:val="0"/>
          <w:marBottom w:val="0"/>
          <w:divBdr>
            <w:top w:val="none" w:sz="0" w:space="0" w:color="auto"/>
            <w:left w:val="none" w:sz="0" w:space="0" w:color="auto"/>
            <w:bottom w:val="none" w:sz="0" w:space="0" w:color="auto"/>
            <w:right w:val="none" w:sz="0" w:space="0" w:color="auto"/>
          </w:divBdr>
        </w:div>
      </w:divsChild>
    </w:div>
    <w:div w:id="90854666">
      <w:bodyDiv w:val="1"/>
      <w:marLeft w:val="0"/>
      <w:marRight w:val="0"/>
      <w:marTop w:val="0"/>
      <w:marBottom w:val="0"/>
      <w:divBdr>
        <w:top w:val="none" w:sz="0" w:space="0" w:color="auto"/>
        <w:left w:val="none" w:sz="0" w:space="0" w:color="auto"/>
        <w:bottom w:val="none" w:sz="0" w:space="0" w:color="auto"/>
        <w:right w:val="none" w:sz="0" w:space="0" w:color="auto"/>
      </w:divBdr>
      <w:divsChild>
        <w:div w:id="279144302">
          <w:marLeft w:val="0"/>
          <w:marRight w:val="0"/>
          <w:marTop w:val="0"/>
          <w:marBottom w:val="0"/>
          <w:divBdr>
            <w:top w:val="none" w:sz="0" w:space="0" w:color="auto"/>
            <w:left w:val="none" w:sz="0" w:space="0" w:color="auto"/>
            <w:bottom w:val="none" w:sz="0" w:space="0" w:color="auto"/>
            <w:right w:val="none" w:sz="0" w:space="0" w:color="auto"/>
          </w:divBdr>
        </w:div>
        <w:div w:id="162400634">
          <w:marLeft w:val="0"/>
          <w:marRight w:val="0"/>
          <w:marTop w:val="0"/>
          <w:marBottom w:val="0"/>
          <w:divBdr>
            <w:top w:val="none" w:sz="0" w:space="0" w:color="auto"/>
            <w:left w:val="none" w:sz="0" w:space="0" w:color="auto"/>
            <w:bottom w:val="none" w:sz="0" w:space="0" w:color="auto"/>
            <w:right w:val="none" w:sz="0" w:space="0" w:color="auto"/>
          </w:divBdr>
        </w:div>
        <w:div w:id="184754979">
          <w:marLeft w:val="0"/>
          <w:marRight w:val="0"/>
          <w:marTop w:val="0"/>
          <w:marBottom w:val="0"/>
          <w:divBdr>
            <w:top w:val="none" w:sz="0" w:space="0" w:color="auto"/>
            <w:left w:val="none" w:sz="0" w:space="0" w:color="auto"/>
            <w:bottom w:val="none" w:sz="0" w:space="0" w:color="auto"/>
            <w:right w:val="none" w:sz="0" w:space="0" w:color="auto"/>
          </w:divBdr>
        </w:div>
      </w:divsChild>
    </w:div>
    <w:div w:id="311756375">
      <w:bodyDiv w:val="1"/>
      <w:marLeft w:val="0"/>
      <w:marRight w:val="0"/>
      <w:marTop w:val="0"/>
      <w:marBottom w:val="0"/>
      <w:divBdr>
        <w:top w:val="none" w:sz="0" w:space="0" w:color="auto"/>
        <w:left w:val="none" w:sz="0" w:space="0" w:color="auto"/>
        <w:bottom w:val="none" w:sz="0" w:space="0" w:color="auto"/>
        <w:right w:val="none" w:sz="0" w:space="0" w:color="auto"/>
      </w:divBdr>
      <w:divsChild>
        <w:div w:id="508102810">
          <w:marLeft w:val="0"/>
          <w:marRight w:val="0"/>
          <w:marTop w:val="0"/>
          <w:marBottom w:val="0"/>
          <w:divBdr>
            <w:top w:val="none" w:sz="0" w:space="0" w:color="auto"/>
            <w:left w:val="none" w:sz="0" w:space="0" w:color="auto"/>
            <w:bottom w:val="none" w:sz="0" w:space="0" w:color="auto"/>
            <w:right w:val="none" w:sz="0" w:space="0" w:color="auto"/>
          </w:divBdr>
        </w:div>
      </w:divsChild>
    </w:div>
    <w:div w:id="335160449">
      <w:bodyDiv w:val="1"/>
      <w:marLeft w:val="0"/>
      <w:marRight w:val="0"/>
      <w:marTop w:val="0"/>
      <w:marBottom w:val="0"/>
      <w:divBdr>
        <w:top w:val="none" w:sz="0" w:space="0" w:color="auto"/>
        <w:left w:val="none" w:sz="0" w:space="0" w:color="auto"/>
        <w:bottom w:val="none" w:sz="0" w:space="0" w:color="auto"/>
        <w:right w:val="none" w:sz="0" w:space="0" w:color="auto"/>
      </w:divBdr>
      <w:divsChild>
        <w:div w:id="1182010959">
          <w:marLeft w:val="0"/>
          <w:marRight w:val="0"/>
          <w:marTop w:val="0"/>
          <w:marBottom w:val="0"/>
          <w:divBdr>
            <w:top w:val="none" w:sz="0" w:space="0" w:color="auto"/>
            <w:left w:val="none" w:sz="0" w:space="0" w:color="auto"/>
            <w:bottom w:val="none" w:sz="0" w:space="0" w:color="auto"/>
            <w:right w:val="none" w:sz="0" w:space="0" w:color="auto"/>
          </w:divBdr>
        </w:div>
        <w:div w:id="63992915">
          <w:marLeft w:val="0"/>
          <w:marRight w:val="0"/>
          <w:marTop w:val="0"/>
          <w:marBottom w:val="0"/>
          <w:divBdr>
            <w:top w:val="none" w:sz="0" w:space="0" w:color="auto"/>
            <w:left w:val="none" w:sz="0" w:space="0" w:color="auto"/>
            <w:bottom w:val="none" w:sz="0" w:space="0" w:color="auto"/>
            <w:right w:val="none" w:sz="0" w:space="0" w:color="auto"/>
          </w:divBdr>
        </w:div>
        <w:div w:id="1126121170">
          <w:marLeft w:val="0"/>
          <w:marRight w:val="0"/>
          <w:marTop w:val="0"/>
          <w:marBottom w:val="0"/>
          <w:divBdr>
            <w:top w:val="none" w:sz="0" w:space="0" w:color="auto"/>
            <w:left w:val="none" w:sz="0" w:space="0" w:color="auto"/>
            <w:bottom w:val="none" w:sz="0" w:space="0" w:color="auto"/>
            <w:right w:val="none" w:sz="0" w:space="0" w:color="auto"/>
          </w:divBdr>
        </w:div>
      </w:divsChild>
    </w:div>
    <w:div w:id="437259540">
      <w:bodyDiv w:val="1"/>
      <w:marLeft w:val="0"/>
      <w:marRight w:val="0"/>
      <w:marTop w:val="0"/>
      <w:marBottom w:val="0"/>
      <w:divBdr>
        <w:top w:val="none" w:sz="0" w:space="0" w:color="auto"/>
        <w:left w:val="none" w:sz="0" w:space="0" w:color="auto"/>
        <w:bottom w:val="none" w:sz="0" w:space="0" w:color="auto"/>
        <w:right w:val="none" w:sz="0" w:space="0" w:color="auto"/>
      </w:divBdr>
      <w:divsChild>
        <w:div w:id="955870586">
          <w:marLeft w:val="0"/>
          <w:marRight w:val="0"/>
          <w:marTop w:val="0"/>
          <w:marBottom w:val="0"/>
          <w:divBdr>
            <w:top w:val="none" w:sz="0" w:space="0" w:color="auto"/>
            <w:left w:val="none" w:sz="0" w:space="0" w:color="auto"/>
            <w:bottom w:val="none" w:sz="0" w:space="0" w:color="auto"/>
            <w:right w:val="none" w:sz="0" w:space="0" w:color="auto"/>
          </w:divBdr>
        </w:div>
      </w:divsChild>
    </w:div>
    <w:div w:id="602031447">
      <w:bodyDiv w:val="1"/>
      <w:marLeft w:val="0"/>
      <w:marRight w:val="0"/>
      <w:marTop w:val="0"/>
      <w:marBottom w:val="0"/>
      <w:divBdr>
        <w:top w:val="none" w:sz="0" w:space="0" w:color="auto"/>
        <w:left w:val="none" w:sz="0" w:space="0" w:color="auto"/>
        <w:bottom w:val="none" w:sz="0" w:space="0" w:color="auto"/>
        <w:right w:val="none" w:sz="0" w:space="0" w:color="auto"/>
      </w:divBdr>
      <w:divsChild>
        <w:div w:id="303244207">
          <w:marLeft w:val="0"/>
          <w:marRight w:val="0"/>
          <w:marTop w:val="0"/>
          <w:marBottom w:val="0"/>
          <w:divBdr>
            <w:top w:val="none" w:sz="0" w:space="0" w:color="auto"/>
            <w:left w:val="none" w:sz="0" w:space="0" w:color="auto"/>
            <w:bottom w:val="none" w:sz="0" w:space="0" w:color="auto"/>
            <w:right w:val="none" w:sz="0" w:space="0" w:color="auto"/>
          </w:divBdr>
        </w:div>
        <w:div w:id="44841057">
          <w:marLeft w:val="0"/>
          <w:marRight w:val="0"/>
          <w:marTop w:val="0"/>
          <w:marBottom w:val="0"/>
          <w:divBdr>
            <w:top w:val="none" w:sz="0" w:space="0" w:color="auto"/>
            <w:left w:val="none" w:sz="0" w:space="0" w:color="auto"/>
            <w:bottom w:val="none" w:sz="0" w:space="0" w:color="auto"/>
            <w:right w:val="none" w:sz="0" w:space="0" w:color="auto"/>
          </w:divBdr>
        </w:div>
        <w:div w:id="1793285087">
          <w:marLeft w:val="0"/>
          <w:marRight w:val="0"/>
          <w:marTop w:val="0"/>
          <w:marBottom w:val="0"/>
          <w:divBdr>
            <w:top w:val="none" w:sz="0" w:space="0" w:color="auto"/>
            <w:left w:val="none" w:sz="0" w:space="0" w:color="auto"/>
            <w:bottom w:val="none" w:sz="0" w:space="0" w:color="auto"/>
            <w:right w:val="none" w:sz="0" w:space="0" w:color="auto"/>
          </w:divBdr>
        </w:div>
      </w:divsChild>
    </w:div>
    <w:div w:id="624702686">
      <w:bodyDiv w:val="1"/>
      <w:marLeft w:val="0"/>
      <w:marRight w:val="0"/>
      <w:marTop w:val="0"/>
      <w:marBottom w:val="0"/>
      <w:divBdr>
        <w:top w:val="none" w:sz="0" w:space="0" w:color="auto"/>
        <w:left w:val="none" w:sz="0" w:space="0" w:color="auto"/>
        <w:bottom w:val="none" w:sz="0" w:space="0" w:color="auto"/>
        <w:right w:val="none" w:sz="0" w:space="0" w:color="auto"/>
      </w:divBdr>
      <w:divsChild>
        <w:div w:id="1452936425">
          <w:marLeft w:val="0"/>
          <w:marRight w:val="0"/>
          <w:marTop w:val="0"/>
          <w:marBottom w:val="0"/>
          <w:divBdr>
            <w:top w:val="none" w:sz="0" w:space="0" w:color="auto"/>
            <w:left w:val="none" w:sz="0" w:space="0" w:color="auto"/>
            <w:bottom w:val="none" w:sz="0" w:space="0" w:color="auto"/>
            <w:right w:val="none" w:sz="0" w:space="0" w:color="auto"/>
          </w:divBdr>
        </w:div>
        <w:div w:id="1081177185">
          <w:marLeft w:val="0"/>
          <w:marRight w:val="0"/>
          <w:marTop w:val="0"/>
          <w:marBottom w:val="0"/>
          <w:divBdr>
            <w:top w:val="none" w:sz="0" w:space="0" w:color="auto"/>
            <w:left w:val="none" w:sz="0" w:space="0" w:color="auto"/>
            <w:bottom w:val="none" w:sz="0" w:space="0" w:color="auto"/>
            <w:right w:val="none" w:sz="0" w:space="0" w:color="auto"/>
          </w:divBdr>
        </w:div>
        <w:div w:id="1604608304">
          <w:marLeft w:val="0"/>
          <w:marRight w:val="0"/>
          <w:marTop w:val="0"/>
          <w:marBottom w:val="0"/>
          <w:divBdr>
            <w:top w:val="none" w:sz="0" w:space="0" w:color="auto"/>
            <w:left w:val="none" w:sz="0" w:space="0" w:color="auto"/>
            <w:bottom w:val="none" w:sz="0" w:space="0" w:color="auto"/>
            <w:right w:val="none" w:sz="0" w:space="0" w:color="auto"/>
          </w:divBdr>
        </w:div>
      </w:divsChild>
    </w:div>
    <w:div w:id="768044324">
      <w:bodyDiv w:val="1"/>
      <w:marLeft w:val="0"/>
      <w:marRight w:val="0"/>
      <w:marTop w:val="0"/>
      <w:marBottom w:val="0"/>
      <w:divBdr>
        <w:top w:val="none" w:sz="0" w:space="0" w:color="auto"/>
        <w:left w:val="none" w:sz="0" w:space="0" w:color="auto"/>
        <w:bottom w:val="none" w:sz="0" w:space="0" w:color="auto"/>
        <w:right w:val="none" w:sz="0" w:space="0" w:color="auto"/>
      </w:divBdr>
      <w:divsChild>
        <w:div w:id="2027638015">
          <w:marLeft w:val="0"/>
          <w:marRight w:val="0"/>
          <w:marTop w:val="0"/>
          <w:marBottom w:val="0"/>
          <w:divBdr>
            <w:top w:val="none" w:sz="0" w:space="0" w:color="auto"/>
            <w:left w:val="none" w:sz="0" w:space="0" w:color="auto"/>
            <w:bottom w:val="none" w:sz="0" w:space="0" w:color="auto"/>
            <w:right w:val="none" w:sz="0" w:space="0" w:color="auto"/>
          </w:divBdr>
        </w:div>
        <w:div w:id="1868911508">
          <w:marLeft w:val="0"/>
          <w:marRight w:val="0"/>
          <w:marTop w:val="0"/>
          <w:marBottom w:val="0"/>
          <w:divBdr>
            <w:top w:val="none" w:sz="0" w:space="0" w:color="auto"/>
            <w:left w:val="none" w:sz="0" w:space="0" w:color="auto"/>
            <w:bottom w:val="none" w:sz="0" w:space="0" w:color="auto"/>
            <w:right w:val="none" w:sz="0" w:space="0" w:color="auto"/>
          </w:divBdr>
        </w:div>
        <w:div w:id="1776749810">
          <w:marLeft w:val="0"/>
          <w:marRight w:val="0"/>
          <w:marTop w:val="0"/>
          <w:marBottom w:val="0"/>
          <w:divBdr>
            <w:top w:val="none" w:sz="0" w:space="0" w:color="auto"/>
            <w:left w:val="none" w:sz="0" w:space="0" w:color="auto"/>
            <w:bottom w:val="none" w:sz="0" w:space="0" w:color="auto"/>
            <w:right w:val="none" w:sz="0" w:space="0" w:color="auto"/>
          </w:divBdr>
        </w:div>
      </w:divsChild>
    </w:div>
    <w:div w:id="864908315">
      <w:bodyDiv w:val="1"/>
      <w:marLeft w:val="0"/>
      <w:marRight w:val="0"/>
      <w:marTop w:val="0"/>
      <w:marBottom w:val="0"/>
      <w:divBdr>
        <w:top w:val="none" w:sz="0" w:space="0" w:color="auto"/>
        <w:left w:val="none" w:sz="0" w:space="0" w:color="auto"/>
        <w:bottom w:val="none" w:sz="0" w:space="0" w:color="auto"/>
        <w:right w:val="none" w:sz="0" w:space="0" w:color="auto"/>
      </w:divBdr>
      <w:divsChild>
        <w:div w:id="1216162432">
          <w:marLeft w:val="0"/>
          <w:marRight w:val="0"/>
          <w:marTop w:val="0"/>
          <w:marBottom w:val="0"/>
          <w:divBdr>
            <w:top w:val="none" w:sz="0" w:space="0" w:color="auto"/>
            <w:left w:val="none" w:sz="0" w:space="0" w:color="auto"/>
            <w:bottom w:val="none" w:sz="0" w:space="0" w:color="auto"/>
            <w:right w:val="none" w:sz="0" w:space="0" w:color="auto"/>
          </w:divBdr>
        </w:div>
        <w:div w:id="343243117">
          <w:marLeft w:val="0"/>
          <w:marRight w:val="0"/>
          <w:marTop w:val="0"/>
          <w:marBottom w:val="0"/>
          <w:divBdr>
            <w:top w:val="none" w:sz="0" w:space="0" w:color="auto"/>
            <w:left w:val="none" w:sz="0" w:space="0" w:color="auto"/>
            <w:bottom w:val="none" w:sz="0" w:space="0" w:color="auto"/>
            <w:right w:val="none" w:sz="0" w:space="0" w:color="auto"/>
          </w:divBdr>
        </w:div>
        <w:div w:id="65959742">
          <w:marLeft w:val="0"/>
          <w:marRight w:val="0"/>
          <w:marTop w:val="0"/>
          <w:marBottom w:val="0"/>
          <w:divBdr>
            <w:top w:val="none" w:sz="0" w:space="0" w:color="auto"/>
            <w:left w:val="none" w:sz="0" w:space="0" w:color="auto"/>
            <w:bottom w:val="none" w:sz="0" w:space="0" w:color="auto"/>
            <w:right w:val="none" w:sz="0" w:space="0" w:color="auto"/>
          </w:divBdr>
        </w:div>
      </w:divsChild>
    </w:div>
    <w:div w:id="1029259216">
      <w:bodyDiv w:val="1"/>
      <w:marLeft w:val="0"/>
      <w:marRight w:val="0"/>
      <w:marTop w:val="0"/>
      <w:marBottom w:val="0"/>
      <w:divBdr>
        <w:top w:val="none" w:sz="0" w:space="0" w:color="auto"/>
        <w:left w:val="none" w:sz="0" w:space="0" w:color="auto"/>
        <w:bottom w:val="none" w:sz="0" w:space="0" w:color="auto"/>
        <w:right w:val="none" w:sz="0" w:space="0" w:color="auto"/>
      </w:divBdr>
      <w:divsChild>
        <w:div w:id="623384208">
          <w:marLeft w:val="0"/>
          <w:marRight w:val="0"/>
          <w:marTop w:val="0"/>
          <w:marBottom w:val="0"/>
          <w:divBdr>
            <w:top w:val="none" w:sz="0" w:space="0" w:color="auto"/>
            <w:left w:val="none" w:sz="0" w:space="0" w:color="auto"/>
            <w:bottom w:val="none" w:sz="0" w:space="0" w:color="auto"/>
            <w:right w:val="none" w:sz="0" w:space="0" w:color="auto"/>
          </w:divBdr>
        </w:div>
        <w:div w:id="687415520">
          <w:marLeft w:val="0"/>
          <w:marRight w:val="0"/>
          <w:marTop w:val="0"/>
          <w:marBottom w:val="0"/>
          <w:divBdr>
            <w:top w:val="none" w:sz="0" w:space="0" w:color="auto"/>
            <w:left w:val="none" w:sz="0" w:space="0" w:color="auto"/>
            <w:bottom w:val="none" w:sz="0" w:space="0" w:color="auto"/>
            <w:right w:val="none" w:sz="0" w:space="0" w:color="auto"/>
          </w:divBdr>
        </w:div>
        <w:div w:id="1420832805">
          <w:marLeft w:val="0"/>
          <w:marRight w:val="0"/>
          <w:marTop w:val="0"/>
          <w:marBottom w:val="0"/>
          <w:divBdr>
            <w:top w:val="none" w:sz="0" w:space="0" w:color="auto"/>
            <w:left w:val="none" w:sz="0" w:space="0" w:color="auto"/>
            <w:bottom w:val="none" w:sz="0" w:space="0" w:color="auto"/>
            <w:right w:val="none" w:sz="0" w:space="0" w:color="auto"/>
          </w:divBdr>
        </w:div>
        <w:div w:id="567958836">
          <w:marLeft w:val="0"/>
          <w:marRight w:val="0"/>
          <w:marTop w:val="0"/>
          <w:marBottom w:val="0"/>
          <w:divBdr>
            <w:top w:val="none" w:sz="0" w:space="0" w:color="auto"/>
            <w:left w:val="none" w:sz="0" w:space="0" w:color="auto"/>
            <w:bottom w:val="none" w:sz="0" w:space="0" w:color="auto"/>
            <w:right w:val="none" w:sz="0" w:space="0" w:color="auto"/>
          </w:divBdr>
        </w:div>
      </w:divsChild>
    </w:div>
    <w:div w:id="1137181914">
      <w:bodyDiv w:val="1"/>
      <w:marLeft w:val="0"/>
      <w:marRight w:val="0"/>
      <w:marTop w:val="0"/>
      <w:marBottom w:val="0"/>
      <w:divBdr>
        <w:top w:val="none" w:sz="0" w:space="0" w:color="auto"/>
        <w:left w:val="none" w:sz="0" w:space="0" w:color="auto"/>
        <w:bottom w:val="none" w:sz="0" w:space="0" w:color="auto"/>
        <w:right w:val="none" w:sz="0" w:space="0" w:color="auto"/>
      </w:divBdr>
      <w:divsChild>
        <w:div w:id="251817260">
          <w:marLeft w:val="0"/>
          <w:marRight w:val="0"/>
          <w:marTop w:val="0"/>
          <w:marBottom w:val="0"/>
          <w:divBdr>
            <w:top w:val="none" w:sz="0" w:space="0" w:color="auto"/>
            <w:left w:val="none" w:sz="0" w:space="0" w:color="auto"/>
            <w:bottom w:val="none" w:sz="0" w:space="0" w:color="auto"/>
            <w:right w:val="none" w:sz="0" w:space="0" w:color="auto"/>
          </w:divBdr>
        </w:div>
        <w:div w:id="1354265891">
          <w:marLeft w:val="0"/>
          <w:marRight w:val="0"/>
          <w:marTop w:val="0"/>
          <w:marBottom w:val="0"/>
          <w:divBdr>
            <w:top w:val="none" w:sz="0" w:space="0" w:color="auto"/>
            <w:left w:val="none" w:sz="0" w:space="0" w:color="auto"/>
            <w:bottom w:val="none" w:sz="0" w:space="0" w:color="auto"/>
            <w:right w:val="none" w:sz="0" w:space="0" w:color="auto"/>
          </w:divBdr>
        </w:div>
        <w:div w:id="1544708361">
          <w:marLeft w:val="0"/>
          <w:marRight w:val="0"/>
          <w:marTop w:val="0"/>
          <w:marBottom w:val="0"/>
          <w:divBdr>
            <w:top w:val="none" w:sz="0" w:space="0" w:color="auto"/>
            <w:left w:val="none" w:sz="0" w:space="0" w:color="auto"/>
            <w:bottom w:val="none" w:sz="0" w:space="0" w:color="auto"/>
            <w:right w:val="none" w:sz="0" w:space="0" w:color="auto"/>
          </w:divBdr>
        </w:div>
      </w:divsChild>
    </w:div>
    <w:div w:id="1149443110">
      <w:bodyDiv w:val="1"/>
      <w:marLeft w:val="0"/>
      <w:marRight w:val="0"/>
      <w:marTop w:val="0"/>
      <w:marBottom w:val="0"/>
      <w:divBdr>
        <w:top w:val="none" w:sz="0" w:space="0" w:color="auto"/>
        <w:left w:val="none" w:sz="0" w:space="0" w:color="auto"/>
        <w:bottom w:val="none" w:sz="0" w:space="0" w:color="auto"/>
        <w:right w:val="none" w:sz="0" w:space="0" w:color="auto"/>
      </w:divBdr>
      <w:divsChild>
        <w:div w:id="1114517115">
          <w:marLeft w:val="0"/>
          <w:marRight w:val="0"/>
          <w:marTop w:val="0"/>
          <w:marBottom w:val="0"/>
          <w:divBdr>
            <w:top w:val="none" w:sz="0" w:space="0" w:color="auto"/>
            <w:left w:val="none" w:sz="0" w:space="0" w:color="auto"/>
            <w:bottom w:val="none" w:sz="0" w:space="0" w:color="auto"/>
            <w:right w:val="none" w:sz="0" w:space="0" w:color="auto"/>
          </w:divBdr>
        </w:div>
        <w:div w:id="1197113087">
          <w:marLeft w:val="0"/>
          <w:marRight w:val="0"/>
          <w:marTop w:val="0"/>
          <w:marBottom w:val="0"/>
          <w:divBdr>
            <w:top w:val="none" w:sz="0" w:space="0" w:color="auto"/>
            <w:left w:val="none" w:sz="0" w:space="0" w:color="auto"/>
            <w:bottom w:val="none" w:sz="0" w:space="0" w:color="auto"/>
            <w:right w:val="none" w:sz="0" w:space="0" w:color="auto"/>
          </w:divBdr>
        </w:div>
        <w:div w:id="494540229">
          <w:marLeft w:val="0"/>
          <w:marRight w:val="0"/>
          <w:marTop w:val="0"/>
          <w:marBottom w:val="0"/>
          <w:divBdr>
            <w:top w:val="none" w:sz="0" w:space="0" w:color="auto"/>
            <w:left w:val="none" w:sz="0" w:space="0" w:color="auto"/>
            <w:bottom w:val="none" w:sz="0" w:space="0" w:color="auto"/>
            <w:right w:val="none" w:sz="0" w:space="0" w:color="auto"/>
          </w:divBdr>
        </w:div>
      </w:divsChild>
    </w:div>
    <w:div w:id="1176001030">
      <w:bodyDiv w:val="1"/>
      <w:marLeft w:val="0"/>
      <w:marRight w:val="0"/>
      <w:marTop w:val="0"/>
      <w:marBottom w:val="0"/>
      <w:divBdr>
        <w:top w:val="none" w:sz="0" w:space="0" w:color="auto"/>
        <w:left w:val="none" w:sz="0" w:space="0" w:color="auto"/>
        <w:bottom w:val="none" w:sz="0" w:space="0" w:color="auto"/>
        <w:right w:val="none" w:sz="0" w:space="0" w:color="auto"/>
      </w:divBdr>
      <w:divsChild>
        <w:div w:id="1522892703">
          <w:marLeft w:val="0"/>
          <w:marRight w:val="0"/>
          <w:marTop w:val="0"/>
          <w:marBottom w:val="0"/>
          <w:divBdr>
            <w:top w:val="none" w:sz="0" w:space="0" w:color="auto"/>
            <w:left w:val="none" w:sz="0" w:space="0" w:color="auto"/>
            <w:bottom w:val="none" w:sz="0" w:space="0" w:color="auto"/>
            <w:right w:val="none" w:sz="0" w:space="0" w:color="auto"/>
          </w:divBdr>
        </w:div>
        <w:div w:id="318073401">
          <w:marLeft w:val="0"/>
          <w:marRight w:val="0"/>
          <w:marTop w:val="0"/>
          <w:marBottom w:val="0"/>
          <w:divBdr>
            <w:top w:val="none" w:sz="0" w:space="0" w:color="auto"/>
            <w:left w:val="none" w:sz="0" w:space="0" w:color="auto"/>
            <w:bottom w:val="none" w:sz="0" w:space="0" w:color="auto"/>
            <w:right w:val="none" w:sz="0" w:space="0" w:color="auto"/>
          </w:divBdr>
        </w:div>
        <w:div w:id="592594710">
          <w:marLeft w:val="0"/>
          <w:marRight w:val="0"/>
          <w:marTop w:val="0"/>
          <w:marBottom w:val="0"/>
          <w:divBdr>
            <w:top w:val="none" w:sz="0" w:space="0" w:color="auto"/>
            <w:left w:val="none" w:sz="0" w:space="0" w:color="auto"/>
            <w:bottom w:val="none" w:sz="0" w:space="0" w:color="auto"/>
            <w:right w:val="none" w:sz="0" w:space="0" w:color="auto"/>
          </w:divBdr>
        </w:div>
      </w:divsChild>
    </w:div>
    <w:div w:id="1182822694">
      <w:bodyDiv w:val="1"/>
      <w:marLeft w:val="0"/>
      <w:marRight w:val="0"/>
      <w:marTop w:val="0"/>
      <w:marBottom w:val="0"/>
      <w:divBdr>
        <w:top w:val="none" w:sz="0" w:space="0" w:color="auto"/>
        <w:left w:val="none" w:sz="0" w:space="0" w:color="auto"/>
        <w:bottom w:val="none" w:sz="0" w:space="0" w:color="auto"/>
        <w:right w:val="none" w:sz="0" w:space="0" w:color="auto"/>
      </w:divBdr>
    </w:div>
    <w:div w:id="1217622262">
      <w:bodyDiv w:val="1"/>
      <w:marLeft w:val="0"/>
      <w:marRight w:val="0"/>
      <w:marTop w:val="0"/>
      <w:marBottom w:val="0"/>
      <w:divBdr>
        <w:top w:val="none" w:sz="0" w:space="0" w:color="auto"/>
        <w:left w:val="none" w:sz="0" w:space="0" w:color="auto"/>
        <w:bottom w:val="none" w:sz="0" w:space="0" w:color="auto"/>
        <w:right w:val="none" w:sz="0" w:space="0" w:color="auto"/>
      </w:divBdr>
      <w:divsChild>
        <w:div w:id="835076732">
          <w:marLeft w:val="0"/>
          <w:marRight w:val="0"/>
          <w:marTop w:val="0"/>
          <w:marBottom w:val="0"/>
          <w:divBdr>
            <w:top w:val="none" w:sz="0" w:space="0" w:color="auto"/>
            <w:left w:val="none" w:sz="0" w:space="0" w:color="auto"/>
            <w:bottom w:val="none" w:sz="0" w:space="0" w:color="auto"/>
            <w:right w:val="none" w:sz="0" w:space="0" w:color="auto"/>
          </w:divBdr>
        </w:div>
        <w:div w:id="404378969">
          <w:marLeft w:val="0"/>
          <w:marRight w:val="0"/>
          <w:marTop w:val="0"/>
          <w:marBottom w:val="0"/>
          <w:divBdr>
            <w:top w:val="none" w:sz="0" w:space="0" w:color="auto"/>
            <w:left w:val="none" w:sz="0" w:space="0" w:color="auto"/>
            <w:bottom w:val="none" w:sz="0" w:space="0" w:color="auto"/>
            <w:right w:val="none" w:sz="0" w:space="0" w:color="auto"/>
          </w:divBdr>
        </w:div>
        <w:div w:id="1285766647">
          <w:marLeft w:val="0"/>
          <w:marRight w:val="0"/>
          <w:marTop w:val="0"/>
          <w:marBottom w:val="0"/>
          <w:divBdr>
            <w:top w:val="none" w:sz="0" w:space="0" w:color="auto"/>
            <w:left w:val="none" w:sz="0" w:space="0" w:color="auto"/>
            <w:bottom w:val="none" w:sz="0" w:space="0" w:color="auto"/>
            <w:right w:val="none" w:sz="0" w:space="0" w:color="auto"/>
          </w:divBdr>
        </w:div>
      </w:divsChild>
    </w:div>
    <w:div w:id="1253969420">
      <w:bodyDiv w:val="1"/>
      <w:marLeft w:val="0"/>
      <w:marRight w:val="0"/>
      <w:marTop w:val="0"/>
      <w:marBottom w:val="0"/>
      <w:divBdr>
        <w:top w:val="none" w:sz="0" w:space="0" w:color="auto"/>
        <w:left w:val="none" w:sz="0" w:space="0" w:color="auto"/>
        <w:bottom w:val="none" w:sz="0" w:space="0" w:color="auto"/>
        <w:right w:val="none" w:sz="0" w:space="0" w:color="auto"/>
      </w:divBdr>
      <w:divsChild>
        <w:div w:id="1139805680">
          <w:marLeft w:val="0"/>
          <w:marRight w:val="0"/>
          <w:marTop w:val="0"/>
          <w:marBottom w:val="0"/>
          <w:divBdr>
            <w:top w:val="none" w:sz="0" w:space="0" w:color="auto"/>
            <w:left w:val="none" w:sz="0" w:space="0" w:color="auto"/>
            <w:bottom w:val="none" w:sz="0" w:space="0" w:color="auto"/>
            <w:right w:val="none" w:sz="0" w:space="0" w:color="auto"/>
          </w:divBdr>
        </w:div>
        <w:div w:id="109394872">
          <w:marLeft w:val="0"/>
          <w:marRight w:val="0"/>
          <w:marTop w:val="0"/>
          <w:marBottom w:val="0"/>
          <w:divBdr>
            <w:top w:val="none" w:sz="0" w:space="0" w:color="auto"/>
            <w:left w:val="none" w:sz="0" w:space="0" w:color="auto"/>
            <w:bottom w:val="none" w:sz="0" w:space="0" w:color="auto"/>
            <w:right w:val="none" w:sz="0" w:space="0" w:color="auto"/>
          </w:divBdr>
          <w:divsChild>
            <w:div w:id="904603006">
              <w:marLeft w:val="0"/>
              <w:marRight w:val="0"/>
              <w:marTop w:val="0"/>
              <w:marBottom w:val="0"/>
              <w:divBdr>
                <w:top w:val="none" w:sz="0" w:space="0" w:color="auto"/>
                <w:left w:val="none" w:sz="0" w:space="0" w:color="auto"/>
                <w:bottom w:val="none" w:sz="0" w:space="0" w:color="auto"/>
                <w:right w:val="none" w:sz="0" w:space="0" w:color="auto"/>
              </w:divBdr>
            </w:div>
            <w:div w:id="1863280177">
              <w:marLeft w:val="0"/>
              <w:marRight w:val="0"/>
              <w:marTop w:val="0"/>
              <w:marBottom w:val="0"/>
              <w:divBdr>
                <w:top w:val="none" w:sz="0" w:space="0" w:color="auto"/>
                <w:left w:val="none" w:sz="0" w:space="0" w:color="auto"/>
                <w:bottom w:val="none" w:sz="0" w:space="0" w:color="auto"/>
                <w:right w:val="none" w:sz="0" w:space="0" w:color="auto"/>
              </w:divBdr>
            </w:div>
          </w:divsChild>
        </w:div>
        <w:div w:id="483394850">
          <w:marLeft w:val="0"/>
          <w:marRight w:val="0"/>
          <w:marTop w:val="0"/>
          <w:marBottom w:val="0"/>
          <w:divBdr>
            <w:top w:val="none" w:sz="0" w:space="0" w:color="auto"/>
            <w:left w:val="none" w:sz="0" w:space="0" w:color="auto"/>
            <w:bottom w:val="none" w:sz="0" w:space="0" w:color="auto"/>
            <w:right w:val="none" w:sz="0" w:space="0" w:color="auto"/>
          </w:divBdr>
        </w:div>
        <w:div w:id="2076853848">
          <w:marLeft w:val="0"/>
          <w:marRight w:val="0"/>
          <w:marTop w:val="0"/>
          <w:marBottom w:val="0"/>
          <w:divBdr>
            <w:top w:val="none" w:sz="0" w:space="0" w:color="auto"/>
            <w:left w:val="none" w:sz="0" w:space="0" w:color="auto"/>
            <w:bottom w:val="none" w:sz="0" w:space="0" w:color="auto"/>
            <w:right w:val="none" w:sz="0" w:space="0" w:color="auto"/>
          </w:divBdr>
        </w:div>
      </w:divsChild>
    </w:div>
    <w:div w:id="1372993314">
      <w:bodyDiv w:val="1"/>
      <w:marLeft w:val="0"/>
      <w:marRight w:val="0"/>
      <w:marTop w:val="0"/>
      <w:marBottom w:val="0"/>
      <w:divBdr>
        <w:top w:val="none" w:sz="0" w:space="0" w:color="auto"/>
        <w:left w:val="none" w:sz="0" w:space="0" w:color="auto"/>
        <w:bottom w:val="none" w:sz="0" w:space="0" w:color="auto"/>
        <w:right w:val="none" w:sz="0" w:space="0" w:color="auto"/>
      </w:divBdr>
      <w:divsChild>
        <w:div w:id="1178273144">
          <w:marLeft w:val="0"/>
          <w:marRight w:val="0"/>
          <w:marTop w:val="0"/>
          <w:marBottom w:val="0"/>
          <w:divBdr>
            <w:top w:val="none" w:sz="0" w:space="0" w:color="auto"/>
            <w:left w:val="none" w:sz="0" w:space="0" w:color="auto"/>
            <w:bottom w:val="none" w:sz="0" w:space="0" w:color="auto"/>
            <w:right w:val="none" w:sz="0" w:space="0" w:color="auto"/>
          </w:divBdr>
          <w:divsChild>
            <w:div w:id="1612938232">
              <w:marLeft w:val="0"/>
              <w:marRight w:val="0"/>
              <w:marTop w:val="0"/>
              <w:marBottom w:val="0"/>
              <w:divBdr>
                <w:top w:val="none" w:sz="0" w:space="0" w:color="auto"/>
                <w:left w:val="none" w:sz="0" w:space="0" w:color="auto"/>
                <w:bottom w:val="none" w:sz="0" w:space="0" w:color="auto"/>
                <w:right w:val="none" w:sz="0" w:space="0" w:color="auto"/>
              </w:divBdr>
            </w:div>
            <w:div w:id="40903808">
              <w:marLeft w:val="0"/>
              <w:marRight w:val="0"/>
              <w:marTop w:val="0"/>
              <w:marBottom w:val="0"/>
              <w:divBdr>
                <w:top w:val="none" w:sz="0" w:space="0" w:color="auto"/>
                <w:left w:val="none" w:sz="0" w:space="0" w:color="auto"/>
                <w:bottom w:val="none" w:sz="0" w:space="0" w:color="auto"/>
                <w:right w:val="none" w:sz="0" w:space="0" w:color="auto"/>
              </w:divBdr>
            </w:div>
          </w:divsChild>
        </w:div>
        <w:div w:id="1646010692">
          <w:marLeft w:val="0"/>
          <w:marRight w:val="0"/>
          <w:marTop w:val="0"/>
          <w:marBottom w:val="0"/>
          <w:divBdr>
            <w:top w:val="none" w:sz="0" w:space="0" w:color="auto"/>
            <w:left w:val="none" w:sz="0" w:space="0" w:color="auto"/>
            <w:bottom w:val="none" w:sz="0" w:space="0" w:color="auto"/>
            <w:right w:val="none" w:sz="0" w:space="0" w:color="auto"/>
          </w:divBdr>
        </w:div>
      </w:divsChild>
    </w:div>
    <w:div w:id="1409621051">
      <w:bodyDiv w:val="1"/>
      <w:marLeft w:val="0"/>
      <w:marRight w:val="0"/>
      <w:marTop w:val="0"/>
      <w:marBottom w:val="0"/>
      <w:divBdr>
        <w:top w:val="none" w:sz="0" w:space="0" w:color="auto"/>
        <w:left w:val="none" w:sz="0" w:space="0" w:color="auto"/>
        <w:bottom w:val="none" w:sz="0" w:space="0" w:color="auto"/>
        <w:right w:val="none" w:sz="0" w:space="0" w:color="auto"/>
      </w:divBdr>
      <w:divsChild>
        <w:div w:id="1341351084">
          <w:marLeft w:val="0"/>
          <w:marRight w:val="0"/>
          <w:marTop w:val="0"/>
          <w:marBottom w:val="0"/>
          <w:divBdr>
            <w:top w:val="none" w:sz="0" w:space="0" w:color="auto"/>
            <w:left w:val="none" w:sz="0" w:space="0" w:color="auto"/>
            <w:bottom w:val="none" w:sz="0" w:space="0" w:color="auto"/>
            <w:right w:val="none" w:sz="0" w:space="0" w:color="auto"/>
          </w:divBdr>
        </w:div>
        <w:div w:id="1364667896">
          <w:marLeft w:val="0"/>
          <w:marRight w:val="0"/>
          <w:marTop w:val="0"/>
          <w:marBottom w:val="0"/>
          <w:divBdr>
            <w:top w:val="none" w:sz="0" w:space="0" w:color="auto"/>
            <w:left w:val="none" w:sz="0" w:space="0" w:color="auto"/>
            <w:bottom w:val="none" w:sz="0" w:space="0" w:color="auto"/>
            <w:right w:val="none" w:sz="0" w:space="0" w:color="auto"/>
          </w:divBdr>
        </w:div>
        <w:div w:id="315498507">
          <w:marLeft w:val="0"/>
          <w:marRight w:val="0"/>
          <w:marTop w:val="0"/>
          <w:marBottom w:val="0"/>
          <w:divBdr>
            <w:top w:val="none" w:sz="0" w:space="0" w:color="auto"/>
            <w:left w:val="none" w:sz="0" w:space="0" w:color="auto"/>
            <w:bottom w:val="none" w:sz="0" w:space="0" w:color="auto"/>
            <w:right w:val="none" w:sz="0" w:space="0" w:color="auto"/>
          </w:divBdr>
        </w:div>
      </w:divsChild>
    </w:div>
    <w:div w:id="1414013900">
      <w:bodyDiv w:val="1"/>
      <w:marLeft w:val="0"/>
      <w:marRight w:val="0"/>
      <w:marTop w:val="0"/>
      <w:marBottom w:val="0"/>
      <w:divBdr>
        <w:top w:val="none" w:sz="0" w:space="0" w:color="auto"/>
        <w:left w:val="none" w:sz="0" w:space="0" w:color="auto"/>
        <w:bottom w:val="none" w:sz="0" w:space="0" w:color="auto"/>
        <w:right w:val="none" w:sz="0" w:space="0" w:color="auto"/>
      </w:divBdr>
      <w:divsChild>
        <w:div w:id="119687676">
          <w:marLeft w:val="0"/>
          <w:marRight w:val="0"/>
          <w:marTop w:val="0"/>
          <w:marBottom w:val="0"/>
          <w:divBdr>
            <w:top w:val="none" w:sz="0" w:space="0" w:color="auto"/>
            <w:left w:val="none" w:sz="0" w:space="0" w:color="auto"/>
            <w:bottom w:val="none" w:sz="0" w:space="0" w:color="auto"/>
            <w:right w:val="none" w:sz="0" w:space="0" w:color="auto"/>
          </w:divBdr>
        </w:div>
        <w:div w:id="1963345839">
          <w:marLeft w:val="0"/>
          <w:marRight w:val="0"/>
          <w:marTop w:val="0"/>
          <w:marBottom w:val="0"/>
          <w:divBdr>
            <w:top w:val="none" w:sz="0" w:space="0" w:color="auto"/>
            <w:left w:val="none" w:sz="0" w:space="0" w:color="auto"/>
            <w:bottom w:val="none" w:sz="0" w:space="0" w:color="auto"/>
            <w:right w:val="none" w:sz="0" w:space="0" w:color="auto"/>
          </w:divBdr>
          <w:divsChild>
            <w:div w:id="2033070290">
              <w:marLeft w:val="0"/>
              <w:marRight w:val="0"/>
              <w:marTop w:val="0"/>
              <w:marBottom w:val="0"/>
              <w:divBdr>
                <w:top w:val="none" w:sz="0" w:space="0" w:color="auto"/>
                <w:left w:val="none" w:sz="0" w:space="0" w:color="auto"/>
                <w:bottom w:val="none" w:sz="0" w:space="0" w:color="auto"/>
                <w:right w:val="none" w:sz="0" w:space="0" w:color="auto"/>
              </w:divBdr>
            </w:div>
            <w:div w:id="2146584694">
              <w:marLeft w:val="0"/>
              <w:marRight w:val="0"/>
              <w:marTop w:val="0"/>
              <w:marBottom w:val="0"/>
              <w:divBdr>
                <w:top w:val="none" w:sz="0" w:space="0" w:color="auto"/>
                <w:left w:val="none" w:sz="0" w:space="0" w:color="auto"/>
                <w:bottom w:val="none" w:sz="0" w:space="0" w:color="auto"/>
                <w:right w:val="none" w:sz="0" w:space="0" w:color="auto"/>
              </w:divBdr>
            </w:div>
          </w:divsChild>
        </w:div>
        <w:div w:id="415906051">
          <w:marLeft w:val="0"/>
          <w:marRight w:val="0"/>
          <w:marTop w:val="0"/>
          <w:marBottom w:val="0"/>
          <w:divBdr>
            <w:top w:val="none" w:sz="0" w:space="0" w:color="auto"/>
            <w:left w:val="none" w:sz="0" w:space="0" w:color="auto"/>
            <w:bottom w:val="none" w:sz="0" w:space="0" w:color="auto"/>
            <w:right w:val="none" w:sz="0" w:space="0" w:color="auto"/>
          </w:divBdr>
        </w:div>
        <w:div w:id="894049177">
          <w:marLeft w:val="0"/>
          <w:marRight w:val="0"/>
          <w:marTop w:val="0"/>
          <w:marBottom w:val="0"/>
          <w:divBdr>
            <w:top w:val="none" w:sz="0" w:space="0" w:color="auto"/>
            <w:left w:val="none" w:sz="0" w:space="0" w:color="auto"/>
            <w:bottom w:val="none" w:sz="0" w:space="0" w:color="auto"/>
            <w:right w:val="none" w:sz="0" w:space="0" w:color="auto"/>
          </w:divBdr>
        </w:div>
      </w:divsChild>
    </w:div>
    <w:div w:id="1706371775">
      <w:bodyDiv w:val="1"/>
      <w:marLeft w:val="0"/>
      <w:marRight w:val="0"/>
      <w:marTop w:val="0"/>
      <w:marBottom w:val="0"/>
      <w:divBdr>
        <w:top w:val="none" w:sz="0" w:space="0" w:color="auto"/>
        <w:left w:val="none" w:sz="0" w:space="0" w:color="auto"/>
        <w:bottom w:val="none" w:sz="0" w:space="0" w:color="auto"/>
        <w:right w:val="none" w:sz="0" w:space="0" w:color="auto"/>
      </w:divBdr>
      <w:divsChild>
        <w:div w:id="629945925">
          <w:marLeft w:val="0"/>
          <w:marRight w:val="0"/>
          <w:marTop w:val="0"/>
          <w:marBottom w:val="0"/>
          <w:divBdr>
            <w:top w:val="none" w:sz="0" w:space="0" w:color="auto"/>
            <w:left w:val="none" w:sz="0" w:space="0" w:color="auto"/>
            <w:bottom w:val="none" w:sz="0" w:space="0" w:color="auto"/>
            <w:right w:val="none" w:sz="0" w:space="0" w:color="auto"/>
          </w:divBdr>
        </w:div>
        <w:div w:id="1122383250">
          <w:marLeft w:val="0"/>
          <w:marRight w:val="0"/>
          <w:marTop w:val="0"/>
          <w:marBottom w:val="0"/>
          <w:divBdr>
            <w:top w:val="none" w:sz="0" w:space="0" w:color="auto"/>
            <w:left w:val="none" w:sz="0" w:space="0" w:color="auto"/>
            <w:bottom w:val="none" w:sz="0" w:space="0" w:color="auto"/>
            <w:right w:val="none" w:sz="0" w:space="0" w:color="auto"/>
          </w:divBdr>
          <w:divsChild>
            <w:div w:id="514920591">
              <w:marLeft w:val="0"/>
              <w:marRight w:val="0"/>
              <w:marTop w:val="0"/>
              <w:marBottom w:val="0"/>
              <w:divBdr>
                <w:top w:val="none" w:sz="0" w:space="0" w:color="auto"/>
                <w:left w:val="none" w:sz="0" w:space="0" w:color="auto"/>
                <w:bottom w:val="none" w:sz="0" w:space="0" w:color="auto"/>
                <w:right w:val="none" w:sz="0" w:space="0" w:color="auto"/>
              </w:divBdr>
            </w:div>
            <w:div w:id="1097412059">
              <w:marLeft w:val="0"/>
              <w:marRight w:val="0"/>
              <w:marTop w:val="0"/>
              <w:marBottom w:val="0"/>
              <w:divBdr>
                <w:top w:val="none" w:sz="0" w:space="0" w:color="auto"/>
                <w:left w:val="none" w:sz="0" w:space="0" w:color="auto"/>
                <w:bottom w:val="none" w:sz="0" w:space="0" w:color="auto"/>
                <w:right w:val="none" w:sz="0" w:space="0" w:color="auto"/>
              </w:divBdr>
            </w:div>
          </w:divsChild>
        </w:div>
        <w:div w:id="1015613131">
          <w:marLeft w:val="0"/>
          <w:marRight w:val="0"/>
          <w:marTop w:val="0"/>
          <w:marBottom w:val="0"/>
          <w:divBdr>
            <w:top w:val="none" w:sz="0" w:space="0" w:color="auto"/>
            <w:left w:val="none" w:sz="0" w:space="0" w:color="auto"/>
            <w:bottom w:val="none" w:sz="0" w:space="0" w:color="auto"/>
            <w:right w:val="none" w:sz="0" w:space="0" w:color="auto"/>
          </w:divBdr>
        </w:div>
        <w:div w:id="725299833">
          <w:marLeft w:val="0"/>
          <w:marRight w:val="0"/>
          <w:marTop w:val="0"/>
          <w:marBottom w:val="0"/>
          <w:divBdr>
            <w:top w:val="none" w:sz="0" w:space="0" w:color="auto"/>
            <w:left w:val="none" w:sz="0" w:space="0" w:color="auto"/>
            <w:bottom w:val="none" w:sz="0" w:space="0" w:color="auto"/>
            <w:right w:val="none" w:sz="0" w:space="0" w:color="auto"/>
          </w:divBdr>
        </w:div>
      </w:divsChild>
    </w:div>
    <w:div w:id="1770468769">
      <w:bodyDiv w:val="1"/>
      <w:marLeft w:val="0"/>
      <w:marRight w:val="0"/>
      <w:marTop w:val="0"/>
      <w:marBottom w:val="0"/>
      <w:divBdr>
        <w:top w:val="none" w:sz="0" w:space="0" w:color="auto"/>
        <w:left w:val="none" w:sz="0" w:space="0" w:color="auto"/>
        <w:bottom w:val="none" w:sz="0" w:space="0" w:color="auto"/>
        <w:right w:val="none" w:sz="0" w:space="0" w:color="auto"/>
      </w:divBdr>
      <w:divsChild>
        <w:div w:id="933592685">
          <w:marLeft w:val="0"/>
          <w:marRight w:val="0"/>
          <w:marTop w:val="0"/>
          <w:marBottom w:val="0"/>
          <w:divBdr>
            <w:top w:val="none" w:sz="0" w:space="0" w:color="auto"/>
            <w:left w:val="none" w:sz="0" w:space="0" w:color="auto"/>
            <w:bottom w:val="none" w:sz="0" w:space="0" w:color="auto"/>
            <w:right w:val="none" w:sz="0" w:space="0" w:color="auto"/>
          </w:divBdr>
        </w:div>
        <w:div w:id="1628462596">
          <w:marLeft w:val="0"/>
          <w:marRight w:val="0"/>
          <w:marTop w:val="0"/>
          <w:marBottom w:val="0"/>
          <w:divBdr>
            <w:top w:val="none" w:sz="0" w:space="0" w:color="auto"/>
            <w:left w:val="none" w:sz="0" w:space="0" w:color="auto"/>
            <w:bottom w:val="none" w:sz="0" w:space="0" w:color="auto"/>
            <w:right w:val="none" w:sz="0" w:space="0" w:color="auto"/>
          </w:divBdr>
          <w:divsChild>
            <w:div w:id="958684955">
              <w:marLeft w:val="0"/>
              <w:marRight w:val="0"/>
              <w:marTop w:val="0"/>
              <w:marBottom w:val="0"/>
              <w:divBdr>
                <w:top w:val="none" w:sz="0" w:space="0" w:color="auto"/>
                <w:left w:val="none" w:sz="0" w:space="0" w:color="auto"/>
                <w:bottom w:val="none" w:sz="0" w:space="0" w:color="auto"/>
                <w:right w:val="none" w:sz="0" w:space="0" w:color="auto"/>
              </w:divBdr>
            </w:div>
            <w:div w:id="1130127042">
              <w:marLeft w:val="0"/>
              <w:marRight w:val="0"/>
              <w:marTop w:val="0"/>
              <w:marBottom w:val="0"/>
              <w:divBdr>
                <w:top w:val="none" w:sz="0" w:space="0" w:color="auto"/>
                <w:left w:val="none" w:sz="0" w:space="0" w:color="auto"/>
                <w:bottom w:val="none" w:sz="0" w:space="0" w:color="auto"/>
                <w:right w:val="none" w:sz="0" w:space="0" w:color="auto"/>
              </w:divBdr>
            </w:div>
          </w:divsChild>
        </w:div>
        <w:div w:id="1497458499">
          <w:marLeft w:val="0"/>
          <w:marRight w:val="0"/>
          <w:marTop w:val="0"/>
          <w:marBottom w:val="0"/>
          <w:divBdr>
            <w:top w:val="none" w:sz="0" w:space="0" w:color="auto"/>
            <w:left w:val="none" w:sz="0" w:space="0" w:color="auto"/>
            <w:bottom w:val="none" w:sz="0" w:space="0" w:color="auto"/>
            <w:right w:val="none" w:sz="0" w:space="0" w:color="auto"/>
          </w:divBdr>
        </w:div>
        <w:div w:id="574173203">
          <w:marLeft w:val="0"/>
          <w:marRight w:val="0"/>
          <w:marTop w:val="0"/>
          <w:marBottom w:val="0"/>
          <w:divBdr>
            <w:top w:val="none" w:sz="0" w:space="0" w:color="auto"/>
            <w:left w:val="none" w:sz="0" w:space="0" w:color="auto"/>
            <w:bottom w:val="none" w:sz="0" w:space="0" w:color="auto"/>
            <w:right w:val="none" w:sz="0" w:space="0" w:color="auto"/>
          </w:divBdr>
        </w:div>
      </w:divsChild>
    </w:div>
    <w:div w:id="1987125508">
      <w:bodyDiv w:val="1"/>
      <w:marLeft w:val="0"/>
      <w:marRight w:val="0"/>
      <w:marTop w:val="0"/>
      <w:marBottom w:val="0"/>
      <w:divBdr>
        <w:top w:val="none" w:sz="0" w:space="0" w:color="auto"/>
        <w:left w:val="none" w:sz="0" w:space="0" w:color="auto"/>
        <w:bottom w:val="none" w:sz="0" w:space="0" w:color="auto"/>
        <w:right w:val="none" w:sz="0" w:space="0" w:color="auto"/>
      </w:divBdr>
      <w:divsChild>
        <w:div w:id="1890801832">
          <w:marLeft w:val="0"/>
          <w:marRight w:val="0"/>
          <w:marTop w:val="0"/>
          <w:marBottom w:val="0"/>
          <w:divBdr>
            <w:top w:val="none" w:sz="0" w:space="0" w:color="auto"/>
            <w:left w:val="none" w:sz="0" w:space="0" w:color="auto"/>
            <w:bottom w:val="none" w:sz="0" w:space="0" w:color="auto"/>
            <w:right w:val="none" w:sz="0" w:space="0" w:color="auto"/>
          </w:divBdr>
        </w:div>
        <w:div w:id="953906684">
          <w:marLeft w:val="0"/>
          <w:marRight w:val="0"/>
          <w:marTop w:val="0"/>
          <w:marBottom w:val="0"/>
          <w:divBdr>
            <w:top w:val="none" w:sz="0" w:space="0" w:color="auto"/>
            <w:left w:val="none" w:sz="0" w:space="0" w:color="auto"/>
            <w:bottom w:val="none" w:sz="0" w:space="0" w:color="auto"/>
            <w:right w:val="none" w:sz="0" w:space="0" w:color="auto"/>
          </w:divBdr>
        </w:div>
        <w:div w:id="1592737639">
          <w:marLeft w:val="0"/>
          <w:marRight w:val="0"/>
          <w:marTop w:val="0"/>
          <w:marBottom w:val="0"/>
          <w:divBdr>
            <w:top w:val="none" w:sz="0" w:space="0" w:color="auto"/>
            <w:left w:val="none" w:sz="0" w:space="0" w:color="auto"/>
            <w:bottom w:val="none" w:sz="0" w:space="0" w:color="auto"/>
            <w:right w:val="none" w:sz="0" w:space="0" w:color="auto"/>
          </w:divBdr>
        </w:div>
      </w:divsChild>
    </w:div>
    <w:div w:id="2028410253">
      <w:bodyDiv w:val="1"/>
      <w:marLeft w:val="0"/>
      <w:marRight w:val="0"/>
      <w:marTop w:val="0"/>
      <w:marBottom w:val="0"/>
      <w:divBdr>
        <w:top w:val="none" w:sz="0" w:space="0" w:color="auto"/>
        <w:left w:val="none" w:sz="0" w:space="0" w:color="auto"/>
        <w:bottom w:val="none" w:sz="0" w:space="0" w:color="auto"/>
        <w:right w:val="none" w:sz="0" w:space="0" w:color="auto"/>
      </w:divBdr>
      <w:divsChild>
        <w:div w:id="80577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1594</Words>
  <Characters>9088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2020-07-16T10:09:00Z</dcterms:created>
  <dcterms:modified xsi:type="dcterms:W3CDTF">2020-07-16T10:09:00Z</dcterms:modified>
</cp:coreProperties>
</file>