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17" w:rsidRPr="00C16E17" w:rsidRDefault="00C16E17" w:rsidP="00C16E17">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bookmarkStart w:id="0" w:name="_GoBack"/>
      <w:r w:rsidRPr="00C16E17">
        <w:rPr>
          <w:rFonts w:ascii="Times New Roman" w:eastAsia="Times New Roman" w:hAnsi="Times New Roman" w:cs="Times New Roman"/>
          <w:sz w:val="34"/>
          <w:szCs w:val="34"/>
          <w:lang w:eastAsia="ru-RU"/>
        </w:rPr>
        <w:t>Письмо Минфина России от 27 января 2021 г. № 24-04-08/4769</w:t>
      </w:r>
      <w:r w:rsidRPr="00C16E17">
        <w:rPr>
          <w:rFonts w:ascii="Times New Roman" w:eastAsia="Times New Roman" w:hAnsi="Times New Roman" w:cs="Times New Roman"/>
          <w:sz w:val="34"/>
          <w:szCs w:val="34"/>
          <w:lang w:eastAsia="ru-RU"/>
        </w:rPr>
        <w:br/>
        <w:t>"О рассмотрении обращения"</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Департамент бюджетной политики в сфере контрактной системы Минфина России (далее - Департамент), рассмотрев обращение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сообщает следующее.</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Минфин России в соответствии с пунктом 1 Положения о Министерстве финансов Российской Федерации, утвержденным постановлением Правительства Российской Федерации от 30.07.2004 № 329, пунктом 1 постановления Правительства Российской Федерации от 26.08.2013 № 728, пунктом 11.8 Регламента Министерства финансов Российской Федерации, утвержденного приказом Минфина России от 14.09.2018 № 194н (зарегистрирован в Минюсте России 10.10.2018 № 52385), не наделен полномочиями по разъяснению законодательства Российской Федерации, практики его применения, по толкованию норм, терминов и понятий, не рассматривает по существу обращения организаций по проведению экспертиз договоров, учредительных и иных документов организаций, по оценке конкретных хозяйственных ситуаций.</w:t>
      </w:r>
    </w:p>
    <w:p w:rsidR="00C16E17" w:rsidRPr="00C16E17" w:rsidRDefault="00C16E17" w:rsidP="00C16E17">
      <w:pPr>
        <w:shd w:val="clear" w:color="auto" w:fill="F0E9D3"/>
        <w:spacing w:line="240" w:lineRule="auto"/>
        <w:jc w:val="both"/>
        <w:rPr>
          <w:rFonts w:ascii="Times New Roman" w:eastAsia="Times New Roman" w:hAnsi="Times New Roman" w:cs="Times New Roman"/>
          <w:sz w:val="21"/>
          <w:szCs w:val="21"/>
          <w:lang w:eastAsia="ru-RU"/>
        </w:rPr>
      </w:pPr>
      <w:r w:rsidRPr="00C16E17">
        <w:rPr>
          <w:rFonts w:ascii="Times New Roman" w:eastAsia="Times New Roman" w:hAnsi="Times New Roman" w:cs="Times New Roman"/>
          <w:sz w:val="21"/>
          <w:szCs w:val="21"/>
          <w:lang w:eastAsia="ru-RU"/>
        </w:rPr>
        <w:t>По-видимому, в тексте предыдущего абзаца допущена опечатка. Дату постановления № 329 следует читать как "30.06.2004"</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 xml:space="preserve">Вместе с тем Департамент считает возможным сообщить, что частью 6 статьи 99 Закона № 44-ФЗ Правительство Российской Федерации наделено полномочиями на утверждение порядка осуществления контроля, предусмотренного частями 5 и 5.1 статьи 99 Закона № 44-ФЗ, в том числе за соответствием информации об идентификационных кодах закупок и </w:t>
      </w:r>
      <w:proofErr w:type="spellStart"/>
      <w:r w:rsidRPr="00C16E17">
        <w:rPr>
          <w:rFonts w:ascii="Times New Roman" w:eastAsia="Times New Roman" w:hAnsi="Times New Roman" w:cs="Times New Roman"/>
          <w:sz w:val="23"/>
          <w:szCs w:val="23"/>
          <w:lang w:eastAsia="ru-RU"/>
        </w:rPr>
        <w:t>непревышением</w:t>
      </w:r>
      <w:proofErr w:type="spellEnd"/>
      <w:r w:rsidRPr="00C16E17">
        <w:rPr>
          <w:rFonts w:ascii="Times New Roman" w:eastAsia="Times New Roman" w:hAnsi="Times New Roman" w:cs="Times New Roman"/>
          <w:sz w:val="23"/>
          <w:szCs w:val="23"/>
          <w:lang w:eastAsia="ru-RU"/>
        </w:rPr>
        <w:t xml:space="preserve"> объема финансового обеспечения для осуществления закупок, содержащихся в предусмотренных Законом № 44-ФЗ информации и документах, не подлежащих в соответствии с указанным законом формированию и размещению в единой информационной системе в сфере закупок, а также на определение порядка действий органов контроля при выявлении несоответствия контролируемой информации. При этом в таком порядке Правительством Российской Федерации в дополнение к указанной информации может определяться иная информация, подлежащая контролю.</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Согласно пункту 25 Правил при осуществлении закупок в случаях, предусмотренных пунктами 2, 3, 6, </w:t>
      </w:r>
      <w:hyperlink r:id="rId4" w:anchor="/document/70353464/entry/9317" w:history="1">
        <w:r w:rsidRPr="00C16E17">
          <w:rPr>
            <w:rFonts w:ascii="Times New Roman" w:eastAsia="Times New Roman" w:hAnsi="Times New Roman" w:cs="Times New Roman"/>
            <w:sz w:val="23"/>
            <w:szCs w:val="23"/>
            <w:lang w:eastAsia="ru-RU"/>
          </w:rPr>
          <w:t>7</w:t>
        </w:r>
      </w:hyperlink>
      <w:r w:rsidRPr="00C16E17">
        <w:rPr>
          <w:rFonts w:ascii="Times New Roman" w:eastAsia="Times New Roman" w:hAnsi="Times New Roman" w:cs="Times New Roman"/>
          <w:sz w:val="23"/>
          <w:szCs w:val="23"/>
          <w:lang w:eastAsia="ru-RU"/>
        </w:rPr>
        <w:t>, 10 - 14, 16, 17, 19, 22, 31 - 33, 35, 37 - 39, 47, 48, 54, 55 части 1 статьи 93 Закона № 44-ФЗ:</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заказчик до направления проекта контракта участнику закупки, с которым заключается контракт, направляет в соответствующий орган контроля проект контракта, предусмотренный подпунктом "з" пункта 4 Правил (подпункт "а" пункта 25 Правил):</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 xml:space="preserve">проект контракта в случае отсутствия уведомления о соответствии контролируемой информации Правилам участнику закупки не направляется (подпункт "в" пункта 25 Правил). </w:t>
      </w:r>
      <w:r w:rsidRPr="00C16E17">
        <w:rPr>
          <w:rFonts w:ascii="Times New Roman" w:eastAsia="Times New Roman" w:hAnsi="Times New Roman" w:cs="Times New Roman"/>
          <w:sz w:val="23"/>
          <w:szCs w:val="23"/>
          <w:lang w:eastAsia="ru-RU"/>
        </w:rPr>
        <w:lastRenderedPageBreak/>
        <w:t>При этом такое уведомление формируется по результатам проведения соответствующих проверок органом контроля не позднее трех рабочих дней со дня, следующего за днем поступления проекта контракта (абзац третий подпункта "б" пункта 25 Правил).</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С учетом изложенного в целях контроля контролируемой информации в предусмотренном Законом № 44-ФЗ контракте, заключаемом в вышеуказанном перечне случаев с единственным поставщиком (подрядчиком, исполнителем), Правилами определен соответствующий порядок, в том числе дополнительно предусматривающий иную подлежащую контролю информацию, содержащуюся в проекте такого контракта.</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Учитывая вышеуказанное предварительное направление проекта контракта в орган контроля (до направления участнику закупки), Правилами предусматривается:</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составление такого проекта контракта. При этом на контракты в вышеуказанном перечне случаев закупок у единственного поставщика (подрядчика, исполнителя) не распространяются положения части 15 статьи 34 Закона № 44-ФЗ, допускающие их заключение в любой форме, предусмотренной Гражданским кодексом Российской Федерации для совершения сделок;</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направление в орган контроля проекта контракта, не содержащего подписи участника закупки.</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Несмотря на то, что Закон № 44-ФЗ не устанавливает специальных положений в отношении проекта контракта, заключаемого с единственным поставщиком (подрядчиком, исполнителем), положения глав 27 и 28 Гражданского кодекса Российской Федерации с учетом положений статьи 34 Закона № 44-ФЗ позволяют определить содержание указанного понятия.</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При этом вышеуказанные обстоятельства о составлении проекта контракта не образуют противоречия.</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Так, согласно части 1 статьи 2 Закона № 44-ФЗ законодательство Российской Федерации о контрактной системе в сфере закупок основывается на положениях Гражданского кодекса Российской Федерации, согласно пункту 2 статьи 432 которого договор заключается посредством направления предложения заключить договор одной из сторон и принятия этого предложения другой стороной.</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В соответствии с положениями подпункта "а" пункта 13 Правил проект контракта, предусмотренный подпунктом "з" пункта 4 Правил, направляется заказчиком в соответствующий орган контроля на бумажном носителе или в электронной форме с использованием информационных систем, применяемых заказчиком и органом контроля (при наличии таких систем), с соблюдением требований законодательства Российской Федерации о защите государственной тайны.</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Таким образом, способ направления проекта контракта (на бумажном носителе или в электронной форме) определяется в конкретном случае, исходя из наличия и применения как заказчиком, так и соответствующим органом контроля, информационной системы, обеспечивающей возможность направления проекта контракта в электронной форме. При этом в силу вышеизложенного предусматривается направление проекта контракта, не содержащего подписи участника закупки.</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Согласно информации, представленной Казначейством России, в настоящее время определенным заказчикам, осуществляющим закупки для федеральных нужд, обеспечивается возможность направления проектов контрактов, заключаемых с единственным поставщиком (подрядчиком, исполнителем), в территориальные органы Казначейства России посредством прикладного программного обеспечения "Система удаленного финансового документооборота" (СУФД).</w:t>
      </w:r>
    </w:p>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lastRenderedPageBreak/>
        <w:t>По вопросам о наличии возможности направления заказчиком вышеуказанного проекта контракта в определенный орган контроля в электронной форме заказчику целесообразно рассмотреть вопрос об обращении в такой орган контроля, уполномоченный на осуществление контроля в отношении контролируемой информации, формируемой таким заказчиком.</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C16E17" w:rsidRPr="00C16E17" w:rsidTr="00C16E17">
        <w:tc>
          <w:tcPr>
            <w:tcW w:w="3300" w:type="pct"/>
            <w:shd w:val="clear" w:color="auto" w:fill="FFFFFF"/>
            <w:vAlign w:val="bottom"/>
            <w:hideMark/>
          </w:tcPr>
          <w:p w:rsidR="00C16E17" w:rsidRPr="00C16E17" w:rsidRDefault="00C16E17" w:rsidP="00C16E17">
            <w:pPr>
              <w:spacing w:after="0" w:line="240" w:lineRule="auto"/>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Заместитель</w:t>
            </w:r>
            <w:r w:rsidRPr="00C16E17">
              <w:rPr>
                <w:rFonts w:ascii="Times New Roman" w:eastAsia="Times New Roman" w:hAnsi="Times New Roman" w:cs="Times New Roman"/>
                <w:sz w:val="23"/>
                <w:szCs w:val="23"/>
                <w:lang w:eastAsia="ru-RU"/>
              </w:rPr>
              <w:br/>
              <w:t>директора Департамента</w:t>
            </w:r>
          </w:p>
        </w:tc>
        <w:tc>
          <w:tcPr>
            <w:tcW w:w="1650" w:type="pct"/>
            <w:shd w:val="clear" w:color="auto" w:fill="FFFFFF"/>
            <w:vAlign w:val="bottom"/>
            <w:hideMark/>
          </w:tcPr>
          <w:p w:rsidR="00C16E17" w:rsidRPr="00C16E17" w:rsidRDefault="00C16E17" w:rsidP="00C16E17">
            <w:pPr>
              <w:spacing w:after="0" w:line="240" w:lineRule="auto"/>
              <w:jc w:val="right"/>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А.В. Гриненко</w:t>
            </w:r>
          </w:p>
        </w:tc>
      </w:tr>
    </w:tbl>
    <w:p w:rsidR="00C16E17" w:rsidRPr="00C16E17" w:rsidRDefault="00C16E17" w:rsidP="00C16E1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16E17">
        <w:rPr>
          <w:rFonts w:ascii="Times New Roman" w:eastAsia="Times New Roman" w:hAnsi="Times New Roman" w:cs="Times New Roman"/>
          <w:sz w:val="23"/>
          <w:szCs w:val="23"/>
          <w:lang w:eastAsia="ru-RU"/>
        </w:rPr>
        <w:t> </w:t>
      </w:r>
    </w:p>
    <w:bookmarkEnd w:id="0"/>
    <w:p w:rsidR="00034B87" w:rsidRPr="00C16E17" w:rsidRDefault="00C16E17" w:rsidP="00C16E17"/>
    <w:sectPr w:rsidR="00034B87" w:rsidRPr="00C16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36"/>
    <w:rsid w:val="005C245C"/>
    <w:rsid w:val="00AD6C02"/>
    <w:rsid w:val="00C16E17"/>
    <w:rsid w:val="00F5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CF83-5021-4347-8CA6-8A0EBE6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A36"/>
    <w:rPr>
      <w:color w:val="0000FF"/>
      <w:u w:val="single"/>
    </w:rPr>
  </w:style>
  <w:style w:type="paragraph" w:customStyle="1" w:styleId="s3">
    <w:name w:val="s_3"/>
    <w:basedOn w:val="a"/>
    <w:rsid w:val="00C1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1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1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1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16E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8861">
      <w:bodyDiv w:val="1"/>
      <w:marLeft w:val="0"/>
      <w:marRight w:val="0"/>
      <w:marTop w:val="0"/>
      <w:marBottom w:val="0"/>
      <w:divBdr>
        <w:top w:val="none" w:sz="0" w:space="0" w:color="auto"/>
        <w:left w:val="none" w:sz="0" w:space="0" w:color="auto"/>
        <w:bottom w:val="none" w:sz="0" w:space="0" w:color="auto"/>
        <w:right w:val="none" w:sz="0" w:space="0" w:color="auto"/>
      </w:divBdr>
      <w:divsChild>
        <w:div w:id="2023625534">
          <w:marLeft w:val="0"/>
          <w:marRight w:val="0"/>
          <w:marTop w:val="0"/>
          <w:marBottom w:val="0"/>
          <w:divBdr>
            <w:top w:val="none" w:sz="0" w:space="0" w:color="auto"/>
            <w:left w:val="none" w:sz="0" w:space="0" w:color="auto"/>
            <w:bottom w:val="none" w:sz="0" w:space="0" w:color="auto"/>
            <w:right w:val="none" w:sz="0" w:space="0" w:color="auto"/>
          </w:divBdr>
        </w:div>
        <w:div w:id="1253977553">
          <w:marLeft w:val="0"/>
          <w:marRight w:val="0"/>
          <w:marTop w:val="0"/>
          <w:marBottom w:val="0"/>
          <w:divBdr>
            <w:top w:val="none" w:sz="0" w:space="0" w:color="auto"/>
            <w:left w:val="none" w:sz="0" w:space="0" w:color="auto"/>
            <w:bottom w:val="none" w:sz="0" w:space="0" w:color="auto"/>
            <w:right w:val="none" w:sz="0" w:space="0" w:color="auto"/>
          </w:divBdr>
        </w:div>
        <w:div w:id="914512356">
          <w:marLeft w:val="0"/>
          <w:marRight w:val="0"/>
          <w:marTop w:val="0"/>
          <w:marBottom w:val="0"/>
          <w:divBdr>
            <w:top w:val="none" w:sz="0" w:space="0" w:color="auto"/>
            <w:left w:val="none" w:sz="0" w:space="0" w:color="auto"/>
            <w:bottom w:val="none" w:sz="0" w:space="0" w:color="auto"/>
            <w:right w:val="none" w:sz="0" w:space="0" w:color="auto"/>
          </w:divBdr>
        </w:div>
      </w:divsChild>
    </w:div>
    <w:div w:id="1534726845">
      <w:bodyDiv w:val="1"/>
      <w:marLeft w:val="0"/>
      <w:marRight w:val="0"/>
      <w:marTop w:val="0"/>
      <w:marBottom w:val="0"/>
      <w:divBdr>
        <w:top w:val="none" w:sz="0" w:space="0" w:color="auto"/>
        <w:left w:val="none" w:sz="0" w:space="0" w:color="auto"/>
        <w:bottom w:val="none" w:sz="0" w:space="0" w:color="auto"/>
        <w:right w:val="none" w:sz="0" w:space="0" w:color="auto"/>
      </w:divBdr>
      <w:divsChild>
        <w:div w:id="19561330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2021-02-26T08:59:00Z</dcterms:created>
  <dcterms:modified xsi:type="dcterms:W3CDTF">2021-02-26T09:47:00Z</dcterms:modified>
</cp:coreProperties>
</file>