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C54" w:rsidRPr="00277C54" w:rsidRDefault="00277C54" w:rsidP="00277C54">
      <w:pPr>
        <w:spacing w:after="0" w:line="240" w:lineRule="auto"/>
        <w:jc w:val="center"/>
        <w:rPr>
          <w:rFonts w:ascii="Verdana" w:eastAsia="Times New Roman" w:hAnsi="Verdana" w:cs="Times New Roman"/>
          <w:b/>
          <w:bCs/>
          <w:sz w:val="21"/>
          <w:szCs w:val="21"/>
          <w:lang w:eastAsia="ru-RU"/>
        </w:rPr>
      </w:pPr>
      <w:bookmarkStart w:id="0" w:name="_GoBack"/>
      <w:r w:rsidRPr="00277C54">
        <w:rPr>
          <w:rFonts w:ascii="Arial" w:eastAsia="Times New Roman" w:hAnsi="Arial" w:cs="Arial"/>
          <w:b/>
          <w:bCs/>
          <w:sz w:val="24"/>
          <w:szCs w:val="24"/>
          <w:lang w:eastAsia="ru-RU"/>
        </w:rPr>
        <w:t>МИНИСТЕРСТВО ФИНАНСОВ РОССИЙСКОЙ ФЕДЕРАЦИИ</w:t>
      </w:r>
    </w:p>
    <w:p w:rsidR="00277C54" w:rsidRPr="00277C54" w:rsidRDefault="00277C54" w:rsidP="00277C54">
      <w:pPr>
        <w:spacing w:after="0" w:line="240" w:lineRule="auto"/>
        <w:jc w:val="center"/>
        <w:rPr>
          <w:rFonts w:ascii="Verdana" w:eastAsia="Times New Roman" w:hAnsi="Verdana" w:cs="Times New Roman"/>
          <w:b/>
          <w:bCs/>
          <w:sz w:val="21"/>
          <w:szCs w:val="21"/>
          <w:lang w:eastAsia="ru-RU"/>
        </w:rPr>
      </w:pPr>
      <w:r w:rsidRPr="00277C54">
        <w:rPr>
          <w:rFonts w:ascii="Arial" w:eastAsia="Times New Roman" w:hAnsi="Arial" w:cs="Arial"/>
          <w:b/>
          <w:bCs/>
          <w:sz w:val="24"/>
          <w:szCs w:val="24"/>
          <w:lang w:eastAsia="ru-RU"/>
        </w:rPr>
        <w:t> </w:t>
      </w:r>
    </w:p>
    <w:p w:rsidR="00277C54" w:rsidRPr="00277C54" w:rsidRDefault="00277C54" w:rsidP="00277C54">
      <w:pPr>
        <w:spacing w:after="0" w:line="240" w:lineRule="auto"/>
        <w:jc w:val="center"/>
        <w:rPr>
          <w:rFonts w:ascii="Verdana" w:eastAsia="Times New Roman" w:hAnsi="Verdana" w:cs="Times New Roman"/>
          <w:b/>
          <w:bCs/>
          <w:sz w:val="21"/>
          <w:szCs w:val="21"/>
          <w:lang w:eastAsia="ru-RU"/>
        </w:rPr>
      </w:pPr>
      <w:r w:rsidRPr="00277C54">
        <w:rPr>
          <w:rFonts w:ascii="Arial" w:eastAsia="Times New Roman" w:hAnsi="Arial" w:cs="Arial"/>
          <w:b/>
          <w:bCs/>
          <w:sz w:val="24"/>
          <w:szCs w:val="24"/>
          <w:lang w:eastAsia="ru-RU"/>
        </w:rPr>
        <w:t>ПИСЬМО</w:t>
      </w:r>
    </w:p>
    <w:p w:rsidR="00277C54" w:rsidRPr="00277C54" w:rsidRDefault="00277C54" w:rsidP="00277C54">
      <w:pPr>
        <w:spacing w:after="0" w:line="240" w:lineRule="auto"/>
        <w:jc w:val="center"/>
        <w:rPr>
          <w:rFonts w:ascii="Verdana" w:eastAsia="Times New Roman" w:hAnsi="Verdana" w:cs="Times New Roman"/>
          <w:b/>
          <w:bCs/>
          <w:sz w:val="21"/>
          <w:szCs w:val="21"/>
          <w:lang w:eastAsia="ru-RU"/>
        </w:rPr>
      </w:pPr>
      <w:r w:rsidRPr="00277C54">
        <w:rPr>
          <w:rFonts w:ascii="Arial" w:eastAsia="Times New Roman" w:hAnsi="Arial" w:cs="Arial"/>
          <w:b/>
          <w:bCs/>
          <w:sz w:val="24"/>
          <w:szCs w:val="24"/>
          <w:lang w:eastAsia="ru-RU"/>
        </w:rPr>
        <w:t>от 17 апреля 2020 г. № 09-01-11/31198</w:t>
      </w:r>
    </w:p>
    <w:p w:rsidR="00277C54" w:rsidRPr="00277C54" w:rsidRDefault="00277C54" w:rsidP="00277C54">
      <w:pPr>
        <w:spacing w:after="0" w:line="240" w:lineRule="auto"/>
        <w:jc w:val="both"/>
        <w:rPr>
          <w:rFonts w:ascii="Verdana" w:eastAsia="Times New Roman" w:hAnsi="Verdana" w:cs="Times New Roman"/>
          <w:sz w:val="21"/>
          <w:szCs w:val="21"/>
          <w:lang w:eastAsia="ru-RU"/>
        </w:rPr>
      </w:pPr>
      <w:r w:rsidRPr="00277C54">
        <w:rPr>
          <w:rFonts w:ascii="Times New Roman" w:eastAsia="Times New Roman" w:hAnsi="Times New Roman" w:cs="Times New Roman"/>
          <w:sz w:val="24"/>
          <w:szCs w:val="24"/>
          <w:lang w:eastAsia="ru-RU"/>
        </w:rPr>
        <w:t> </w:t>
      </w:r>
    </w:p>
    <w:p w:rsidR="00277C54" w:rsidRPr="00277C54" w:rsidRDefault="00277C54" w:rsidP="00277C54">
      <w:pPr>
        <w:spacing w:after="0" w:line="240" w:lineRule="auto"/>
        <w:ind w:firstLine="540"/>
        <w:jc w:val="both"/>
        <w:rPr>
          <w:rFonts w:ascii="Verdana" w:eastAsia="Times New Roman" w:hAnsi="Verdana" w:cs="Times New Roman"/>
          <w:sz w:val="21"/>
          <w:szCs w:val="21"/>
          <w:lang w:eastAsia="ru-RU"/>
        </w:rPr>
      </w:pPr>
      <w:r w:rsidRPr="00277C54">
        <w:rPr>
          <w:rFonts w:ascii="Times New Roman" w:eastAsia="Times New Roman" w:hAnsi="Times New Roman" w:cs="Times New Roman"/>
          <w:sz w:val="24"/>
          <w:szCs w:val="24"/>
          <w:lang w:eastAsia="ru-RU"/>
        </w:rPr>
        <w:t>Министерство финансов Российской Федерации рассмотрело в пределах компетенции обращение, содержащее предложения по совершенствованию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осуществления расчетов по государственным контрактам, контрактам (договорам), и выражает благодарность за проявленную гражданскую инициативу.</w:t>
      </w:r>
    </w:p>
    <w:p w:rsidR="00277C54" w:rsidRPr="00277C54" w:rsidRDefault="00277C54" w:rsidP="00277C54">
      <w:pPr>
        <w:spacing w:after="0" w:line="240" w:lineRule="auto"/>
        <w:ind w:firstLine="540"/>
        <w:jc w:val="both"/>
        <w:rPr>
          <w:rFonts w:ascii="Verdana" w:eastAsia="Times New Roman" w:hAnsi="Verdana" w:cs="Times New Roman"/>
          <w:sz w:val="21"/>
          <w:szCs w:val="21"/>
          <w:lang w:eastAsia="ru-RU"/>
        </w:rPr>
      </w:pPr>
      <w:r w:rsidRPr="00277C54">
        <w:rPr>
          <w:rFonts w:ascii="Times New Roman" w:eastAsia="Times New Roman" w:hAnsi="Times New Roman" w:cs="Times New Roman"/>
          <w:sz w:val="24"/>
          <w:szCs w:val="24"/>
          <w:lang w:eastAsia="ru-RU"/>
        </w:rPr>
        <w:t>Вместе с тем Минфин России считает возможным отметить следующее.</w:t>
      </w:r>
    </w:p>
    <w:p w:rsidR="00277C54" w:rsidRPr="00277C54" w:rsidRDefault="00277C54" w:rsidP="00277C54">
      <w:pPr>
        <w:spacing w:after="0" w:line="240" w:lineRule="auto"/>
        <w:ind w:firstLine="540"/>
        <w:jc w:val="both"/>
        <w:rPr>
          <w:rFonts w:ascii="Verdana" w:eastAsia="Times New Roman" w:hAnsi="Verdana" w:cs="Times New Roman"/>
          <w:sz w:val="21"/>
          <w:szCs w:val="21"/>
          <w:lang w:eastAsia="ru-RU"/>
        </w:rPr>
      </w:pPr>
      <w:r w:rsidRPr="00277C54">
        <w:rPr>
          <w:rFonts w:ascii="Times New Roman" w:eastAsia="Times New Roman" w:hAnsi="Times New Roman" w:cs="Times New Roman"/>
          <w:sz w:val="24"/>
          <w:szCs w:val="24"/>
          <w:lang w:eastAsia="ru-RU"/>
        </w:rPr>
        <w:t>Начиная с 2015 года поэтапно внедряется механизм казначейского сопровождения, предусматривающий предоставление средств из бюджета, включая средства поставщикам товаров, исполнителям работ (услуг) в рамках исполнения государственных контрактов (далее - целевые средства), при наличии фактической потребности в таких средствах и после проверки их использования на соответствие условиям и (или) целям предоставления данных средств.</w:t>
      </w:r>
    </w:p>
    <w:p w:rsidR="00277C54" w:rsidRPr="00277C54" w:rsidRDefault="00277C54" w:rsidP="00277C54">
      <w:pPr>
        <w:spacing w:after="0" w:line="240" w:lineRule="auto"/>
        <w:ind w:firstLine="540"/>
        <w:jc w:val="both"/>
        <w:rPr>
          <w:rFonts w:ascii="Verdana" w:eastAsia="Times New Roman" w:hAnsi="Verdana" w:cs="Times New Roman"/>
          <w:sz w:val="21"/>
          <w:szCs w:val="21"/>
          <w:lang w:eastAsia="ru-RU"/>
        </w:rPr>
      </w:pPr>
      <w:r w:rsidRPr="00277C54">
        <w:rPr>
          <w:rFonts w:ascii="Times New Roman" w:eastAsia="Times New Roman" w:hAnsi="Times New Roman" w:cs="Times New Roman"/>
          <w:sz w:val="24"/>
          <w:szCs w:val="24"/>
          <w:lang w:eastAsia="ru-RU"/>
        </w:rPr>
        <w:t>Казначейское сопровождение направлено на защиту от риска возможных недобросовестных действий со стороны поставщиков (подрядчиков, исполнителей), в том числе невозврата в бюджеты бюджетной системы Российской Федерации средств при неисполнении ими обязательств по контракту.</w:t>
      </w:r>
    </w:p>
    <w:p w:rsidR="00277C54" w:rsidRPr="00277C54" w:rsidRDefault="00277C54" w:rsidP="00277C54">
      <w:pPr>
        <w:spacing w:after="0" w:line="240" w:lineRule="auto"/>
        <w:ind w:firstLine="540"/>
        <w:jc w:val="both"/>
        <w:rPr>
          <w:rFonts w:ascii="Verdana" w:eastAsia="Times New Roman" w:hAnsi="Verdana" w:cs="Times New Roman"/>
          <w:sz w:val="21"/>
          <w:szCs w:val="21"/>
          <w:lang w:eastAsia="ru-RU"/>
        </w:rPr>
      </w:pPr>
      <w:r w:rsidRPr="00277C54">
        <w:rPr>
          <w:rFonts w:ascii="Times New Roman" w:eastAsia="Times New Roman" w:hAnsi="Times New Roman" w:cs="Times New Roman"/>
          <w:sz w:val="24"/>
          <w:szCs w:val="24"/>
          <w:lang w:eastAsia="ru-RU"/>
        </w:rPr>
        <w:t>Нормы о казначейском сопровождении ежегодно устанавливаются федеральным законом о федеральном бюджете на соответствующий финансовый год и плановый период и принимаемыми во исполнение указанного федерального закона нормативными правовыми актами.</w:t>
      </w:r>
    </w:p>
    <w:p w:rsidR="00277C54" w:rsidRPr="00277C54" w:rsidRDefault="00277C54" w:rsidP="00277C54">
      <w:pPr>
        <w:spacing w:after="0" w:line="240" w:lineRule="auto"/>
        <w:ind w:firstLine="540"/>
        <w:jc w:val="both"/>
        <w:rPr>
          <w:rFonts w:ascii="Verdana" w:eastAsia="Times New Roman" w:hAnsi="Verdana" w:cs="Times New Roman"/>
          <w:sz w:val="21"/>
          <w:szCs w:val="21"/>
          <w:lang w:eastAsia="ru-RU"/>
        </w:rPr>
      </w:pPr>
      <w:r w:rsidRPr="00277C54">
        <w:rPr>
          <w:rFonts w:ascii="Times New Roman" w:eastAsia="Times New Roman" w:hAnsi="Times New Roman" w:cs="Times New Roman"/>
          <w:sz w:val="24"/>
          <w:szCs w:val="24"/>
          <w:lang w:eastAsia="ru-RU"/>
        </w:rPr>
        <w:t>В 2020 году казначейское сопровождение осуществляется в соответствии с нормами статьи 5 Федерального закона от 2 декабря 2019 г. № 380-ФЗ "О федеральном бюджете на 2020 год и на плановый период 2021 и 2022 годов" (далее - Федеральный закон № 380-ФЗ), определяющими перечень средств, подлежащих казначейскому сопровождению, в том числе:</w:t>
      </w:r>
    </w:p>
    <w:p w:rsidR="00277C54" w:rsidRPr="00277C54" w:rsidRDefault="00277C54" w:rsidP="00277C54">
      <w:pPr>
        <w:spacing w:after="0" w:line="240" w:lineRule="auto"/>
        <w:ind w:firstLine="540"/>
        <w:jc w:val="both"/>
        <w:rPr>
          <w:rFonts w:ascii="Verdana" w:eastAsia="Times New Roman" w:hAnsi="Verdana" w:cs="Times New Roman"/>
          <w:sz w:val="21"/>
          <w:szCs w:val="21"/>
          <w:lang w:eastAsia="ru-RU"/>
        </w:rPr>
      </w:pPr>
      <w:r w:rsidRPr="00277C54">
        <w:rPr>
          <w:rFonts w:ascii="Times New Roman" w:eastAsia="Times New Roman" w:hAnsi="Times New Roman" w:cs="Times New Roman"/>
          <w:sz w:val="24"/>
          <w:szCs w:val="24"/>
          <w:lang w:eastAsia="ru-RU"/>
        </w:rPr>
        <w:t>авансовые платежи по государственным контрактам о поставке товаров, выполнении работ, оказании услуг (за исключением государственных контрактов, заключаемых в целях реализации государственного оборонного заказа), заключаемым на сумму 100 000,0 тыс. рублей и более, а также авансовые платежи по контрактам (договорам), заключаемым в целях исполнения указанных государственных контрактов;</w:t>
      </w:r>
    </w:p>
    <w:p w:rsidR="00277C54" w:rsidRPr="00277C54" w:rsidRDefault="00277C54" w:rsidP="00277C54">
      <w:pPr>
        <w:spacing w:after="0" w:line="240" w:lineRule="auto"/>
        <w:ind w:firstLine="540"/>
        <w:jc w:val="both"/>
        <w:rPr>
          <w:rFonts w:ascii="Verdana" w:eastAsia="Times New Roman" w:hAnsi="Verdana" w:cs="Times New Roman"/>
          <w:sz w:val="21"/>
          <w:szCs w:val="21"/>
          <w:lang w:eastAsia="ru-RU"/>
        </w:rPr>
      </w:pPr>
      <w:r w:rsidRPr="00277C54">
        <w:rPr>
          <w:rFonts w:ascii="Times New Roman" w:eastAsia="Times New Roman" w:hAnsi="Times New Roman" w:cs="Times New Roman"/>
          <w:sz w:val="24"/>
          <w:szCs w:val="24"/>
          <w:lang w:eastAsia="ru-RU"/>
        </w:rPr>
        <w:t>расчеты по государственным контрактам, заключаемым в соответствии с пунктом 2 части 1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на сумму более 300,0 тыс. рублей, а также расчеты по контрактам (договорам), заключаемым в целях исполнения указанных государственных контрактов, на сумму более 300,0 тыс. рублей;</w:t>
      </w:r>
    </w:p>
    <w:p w:rsidR="00277C54" w:rsidRPr="00277C54" w:rsidRDefault="00277C54" w:rsidP="00277C54">
      <w:pPr>
        <w:spacing w:after="0" w:line="240" w:lineRule="auto"/>
        <w:ind w:firstLine="540"/>
        <w:jc w:val="both"/>
        <w:rPr>
          <w:rFonts w:ascii="Verdana" w:eastAsia="Times New Roman" w:hAnsi="Verdana" w:cs="Times New Roman"/>
          <w:sz w:val="21"/>
          <w:szCs w:val="21"/>
          <w:lang w:eastAsia="ru-RU"/>
        </w:rPr>
      </w:pPr>
      <w:r w:rsidRPr="00277C54">
        <w:rPr>
          <w:rFonts w:ascii="Times New Roman" w:eastAsia="Times New Roman" w:hAnsi="Times New Roman" w:cs="Times New Roman"/>
          <w:sz w:val="24"/>
          <w:szCs w:val="24"/>
          <w:lang w:eastAsia="ru-RU"/>
        </w:rPr>
        <w:t>расчеты по государственным контрактам, заключаемым в целях реализации государственного оборонного заказа, на сумму более 300,0 тыс. рублей, а также расчеты по контрактам (договорам), заключаемым в рамках исполнения указанных государственных контрактов, на сумму более 300,0 тыс. рублей.</w:t>
      </w:r>
    </w:p>
    <w:p w:rsidR="00277C54" w:rsidRPr="00277C54" w:rsidRDefault="00277C54" w:rsidP="00277C54">
      <w:pPr>
        <w:spacing w:after="0" w:line="240" w:lineRule="auto"/>
        <w:ind w:firstLine="540"/>
        <w:jc w:val="both"/>
        <w:rPr>
          <w:rFonts w:ascii="Verdana" w:eastAsia="Times New Roman" w:hAnsi="Verdana" w:cs="Times New Roman"/>
          <w:sz w:val="21"/>
          <w:szCs w:val="21"/>
          <w:lang w:eastAsia="ru-RU"/>
        </w:rPr>
      </w:pPr>
      <w:r w:rsidRPr="00277C54">
        <w:rPr>
          <w:rFonts w:ascii="Times New Roman" w:eastAsia="Times New Roman" w:hAnsi="Times New Roman" w:cs="Times New Roman"/>
          <w:sz w:val="24"/>
          <w:szCs w:val="24"/>
          <w:lang w:eastAsia="ru-RU"/>
        </w:rPr>
        <w:t>В соответствии с положениями части 1 статьи 5 Федерального закона № 380-ФЗ при казначейском сопровождении операции по зачислению и списанию целевых средств осуществляются на лицевых счетах, открытых юридическим лицам в Федеральном казначействе, после санкционирования расходов, источником финансового обеспечения которых являются целевые средства, в установленном Минфином России порядке.</w:t>
      </w:r>
    </w:p>
    <w:p w:rsidR="00277C54" w:rsidRPr="00277C54" w:rsidRDefault="00277C54" w:rsidP="00277C54">
      <w:pPr>
        <w:spacing w:after="0" w:line="240" w:lineRule="auto"/>
        <w:ind w:firstLine="540"/>
        <w:jc w:val="both"/>
        <w:rPr>
          <w:rFonts w:ascii="Verdana" w:eastAsia="Times New Roman" w:hAnsi="Verdana" w:cs="Times New Roman"/>
          <w:sz w:val="21"/>
          <w:szCs w:val="21"/>
          <w:lang w:eastAsia="ru-RU"/>
        </w:rPr>
      </w:pPr>
      <w:r w:rsidRPr="00277C54">
        <w:rPr>
          <w:rFonts w:ascii="Times New Roman" w:eastAsia="Times New Roman" w:hAnsi="Times New Roman" w:cs="Times New Roman"/>
          <w:sz w:val="24"/>
          <w:szCs w:val="24"/>
          <w:lang w:eastAsia="ru-RU"/>
        </w:rPr>
        <w:lastRenderedPageBreak/>
        <w:t>Согласно пункту 4 Порядка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2020 год и на плановый период 2021 и 2022 годов", утвержденного приказом Минфина России от 10 декабря 2019 г. № 220н (далее - Порядок № 220н), санкционирование расходов, источником финансового обеспечения которых являются целевые средства, территориальным органом Федерального казначейства осуществляется на основании Сведений об операциях с целевыми средствами, утвержденных государственным заказчиком (юридическим лицом, являющимся заказчиком по контракту (договору)), в которых указываются источники поступлений целевых средств, а также направления их использования, соответствующие целям, установленным при их предоставлении, после проверки документов, подтверждающих факт поставки товаров, выполнения работ, оказания услуг, не позднее второго рабочего дня, следующего за днем представления документов для их оплаты.</w:t>
      </w:r>
    </w:p>
    <w:p w:rsidR="00277C54" w:rsidRPr="00277C54" w:rsidRDefault="00277C54" w:rsidP="00277C54">
      <w:pPr>
        <w:spacing w:after="0" w:line="240" w:lineRule="auto"/>
        <w:ind w:firstLine="540"/>
        <w:jc w:val="both"/>
        <w:rPr>
          <w:rFonts w:ascii="Verdana" w:eastAsia="Times New Roman" w:hAnsi="Verdana" w:cs="Times New Roman"/>
          <w:sz w:val="21"/>
          <w:szCs w:val="21"/>
          <w:lang w:eastAsia="ru-RU"/>
        </w:rPr>
      </w:pPr>
      <w:r w:rsidRPr="00277C54">
        <w:rPr>
          <w:rFonts w:ascii="Times New Roman" w:eastAsia="Times New Roman" w:hAnsi="Times New Roman" w:cs="Times New Roman"/>
          <w:sz w:val="24"/>
          <w:szCs w:val="24"/>
          <w:lang w:eastAsia="ru-RU"/>
        </w:rPr>
        <w:t>Таким образом, целевые средства перечисляются поставщикам (подрядчикам, исполнителям) в сроки, установленные условиями государственных контрактов на поставку товаров (выполнение работ, оказание услуг), без возможности отвлечения на другие цели.</w:t>
      </w:r>
    </w:p>
    <w:p w:rsidR="00277C54" w:rsidRPr="00277C54" w:rsidRDefault="00277C54" w:rsidP="00277C54">
      <w:pPr>
        <w:spacing w:after="0" w:line="240" w:lineRule="auto"/>
        <w:ind w:firstLine="540"/>
        <w:jc w:val="both"/>
        <w:rPr>
          <w:rFonts w:ascii="Verdana" w:eastAsia="Times New Roman" w:hAnsi="Verdana" w:cs="Times New Roman"/>
          <w:sz w:val="21"/>
          <w:szCs w:val="21"/>
          <w:lang w:eastAsia="ru-RU"/>
        </w:rPr>
      </w:pPr>
      <w:r w:rsidRPr="00277C54">
        <w:rPr>
          <w:rFonts w:ascii="Times New Roman" w:eastAsia="Times New Roman" w:hAnsi="Times New Roman" w:cs="Times New Roman"/>
          <w:sz w:val="24"/>
          <w:szCs w:val="24"/>
          <w:lang w:eastAsia="ru-RU"/>
        </w:rPr>
        <w:t>При этом целевые средства до момента их перечисления за фактически поставленные товары, выполненные работы, оказанные услуги остаются на счетах Федерального казначейства.</w:t>
      </w:r>
    </w:p>
    <w:p w:rsidR="00277C54" w:rsidRPr="00277C54" w:rsidRDefault="00277C54" w:rsidP="00277C54">
      <w:pPr>
        <w:shd w:val="clear" w:color="auto" w:fill="F4F3F8"/>
        <w:spacing w:after="0" w:line="240" w:lineRule="auto"/>
        <w:rPr>
          <w:rFonts w:ascii="Verdana" w:eastAsia="Times New Roman" w:hAnsi="Verdana" w:cs="Times New Roman"/>
          <w:sz w:val="21"/>
          <w:szCs w:val="21"/>
          <w:lang w:eastAsia="ru-RU"/>
        </w:rPr>
      </w:pPr>
      <w:r w:rsidRPr="00277C54">
        <w:rPr>
          <w:rFonts w:ascii="Times New Roman" w:eastAsia="Times New Roman" w:hAnsi="Times New Roman" w:cs="Times New Roman"/>
          <w:sz w:val="24"/>
          <w:szCs w:val="24"/>
          <w:lang w:eastAsia="ru-RU"/>
        </w:rPr>
        <w:t>Примечание.</w:t>
      </w:r>
    </w:p>
    <w:p w:rsidR="00277C54" w:rsidRPr="00277C54" w:rsidRDefault="00277C54" w:rsidP="00277C54">
      <w:pPr>
        <w:shd w:val="clear" w:color="auto" w:fill="F4F3F8"/>
        <w:spacing w:after="0" w:line="240" w:lineRule="auto"/>
        <w:rPr>
          <w:rFonts w:ascii="Verdana" w:eastAsia="Times New Roman" w:hAnsi="Verdana" w:cs="Times New Roman"/>
          <w:sz w:val="21"/>
          <w:szCs w:val="21"/>
          <w:lang w:eastAsia="ru-RU"/>
        </w:rPr>
      </w:pPr>
      <w:r w:rsidRPr="00277C54">
        <w:rPr>
          <w:rFonts w:ascii="Times New Roman" w:eastAsia="Times New Roman" w:hAnsi="Times New Roman" w:cs="Times New Roman"/>
          <w:sz w:val="24"/>
          <w:szCs w:val="24"/>
          <w:lang w:eastAsia="ru-RU"/>
        </w:rPr>
        <w:t>В тексте документа, видимо, допущена опечатка: имеется в виду абзац четвертый части 1 статьи 5 Федерального закона от 02.12.2019 № 380-ФЗ, а не абзац четвертый части 2.</w:t>
      </w:r>
    </w:p>
    <w:p w:rsidR="00277C54" w:rsidRPr="00277C54" w:rsidRDefault="00277C54" w:rsidP="00277C54">
      <w:pPr>
        <w:spacing w:after="0" w:line="240" w:lineRule="auto"/>
        <w:ind w:firstLine="540"/>
        <w:jc w:val="both"/>
        <w:rPr>
          <w:rFonts w:ascii="Verdana" w:eastAsia="Times New Roman" w:hAnsi="Verdana" w:cs="Times New Roman"/>
          <w:sz w:val="21"/>
          <w:szCs w:val="21"/>
          <w:lang w:eastAsia="ru-RU"/>
        </w:rPr>
      </w:pPr>
      <w:r w:rsidRPr="00277C54">
        <w:rPr>
          <w:rFonts w:ascii="Times New Roman" w:eastAsia="Times New Roman" w:hAnsi="Times New Roman" w:cs="Times New Roman"/>
          <w:sz w:val="24"/>
          <w:szCs w:val="24"/>
          <w:lang w:eastAsia="ru-RU"/>
        </w:rPr>
        <w:t>Кроме того, абзацем четвертым части 2 статьи 5 Федерального закона № 380-ФЗ установлено требование о ведении юридическими лицами раздельного учета результатов финансово-хозяйственной деятельности по каждому государственному (муниципальному) контракту (контракту, договору) о поставке товаров, выполнении работ, оказании услуг в соответствии с установленным Правительством Российской Федерации порядком.</w:t>
      </w:r>
    </w:p>
    <w:p w:rsidR="00277C54" w:rsidRPr="00277C54" w:rsidRDefault="00277C54" w:rsidP="00277C54">
      <w:pPr>
        <w:spacing w:after="0" w:line="240" w:lineRule="auto"/>
        <w:ind w:firstLine="540"/>
        <w:jc w:val="both"/>
        <w:rPr>
          <w:rFonts w:ascii="Verdana" w:eastAsia="Times New Roman" w:hAnsi="Verdana" w:cs="Times New Roman"/>
          <w:sz w:val="21"/>
          <w:szCs w:val="21"/>
          <w:lang w:eastAsia="ru-RU"/>
        </w:rPr>
      </w:pPr>
      <w:r w:rsidRPr="00277C54">
        <w:rPr>
          <w:rFonts w:ascii="Times New Roman" w:eastAsia="Times New Roman" w:hAnsi="Times New Roman" w:cs="Times New Roman"/>
          <w:sz w:val="24"/>
          <w:szCs w:val="24"/>
          <w:lang w:eastAsia="ru-RU"/>
        </w:rPr>
        <w:t>Ведение юридическими лицами раздельного учета основано на раскрытии информации о структуре цены государственного контракта, контракта (договора) путем формирования расходной декларации, содержащей информацию о плановых и фактических выплатах по статьям затрат.</w:t>
      </w:r>
    </w:p>
    <w:p w:rsidR="00277C54" w:rsidRPr="00277C54" w:rsidRDefault="00277C54" w:rsidP="00277C54">
      <w:pPr>
        <w:spacing w:after="0" w:line="240" w:lineRule="auto"/>
        <w:ind w:firstLine="540"/>
        <w:jc w:val="both"/>
        <w:rPr>
          <w:rFonts w:ascii="Verdana" w:eastAsia="Times New Roman" w:hAnsi="Verdana" w:cs="Times New Roman"/>
          <w:sz w:val="21"/>
          <w:szCs w:val="21"/>
          <w:lang w:eastAsia="ru-RU"/>
        </w:rPr>
      </w:pPr>
      <w:r w:rsidRPr="00277C54">
        <w:rPr>
          <w:rFonts w:ascii="Times New Roman" w:eastAsia="Times New Roman" w:hAnsi="Times New Roman" w:cs="Times New Roman"/>
          <w:sz w:val="24"/>
          <w:szCs w:val="24"/>
          <w:lang w:eastAsia="ru-RU"/>
        </w:rPr>
        <w:t>В целях установления на постоянной основе правового регулирования осуществления казначейского сопровождения Минфином России разработан и внесен в Правительство Российской Федерации проект федерального закона "О внесении изменений в Бюджетный кодекс Российской Федерации в части казначейского сопровождения, казначейского обеспечения обязательств и бюджетного мониторинга".</w:t>
      </w:r>
    </w:p>
    <w:p w:rsidR="00277C54" w:rsidRPr="00277C54" w:rsidRDefault="00277C54" w:rsidP="00277C54">
      <w:pPr>
        <w:spacing w:after="0" w:line="240" w:lineRule="auto"/>
        <w:ind w:firstLine="540"/>
        <w:jc w:val="both"/>
        <w:rPr>
          <w:rFonts w:ascii="Verdana" w:eastAsia="Times New Roman" w:hAnsi="Verdana" w:cs="Times New Roman"/>
          <w:sz w:val="21"/>
          <w:szCs w:val="21"/>
          <w:lang w:eastAsia="ru-RU"/>
        </w:rPr>
      </w:pPr>
      <w:r w:rsidRPr="00277C54">
        <w:rPr>
          <w:rFonts w:ascii="Times New Roman" w:eastAsia="Times New Roman" w:hAnsi="Times New Roman" w:cs="Times New Roman"/>
          <w:sz w:val="24"/>
          <w:szCs w:val="24"/>
          <w:lang w:eastAsia="ru-RU"/>
        </w:rPr>
        <w:t>Принятие указанного федерального закона позволит установить нормативное правовое регулирование казначейского сопровождения, гарантирующее соблюдение баланса интересов государства как собственника средств и исполнителей государственных (муниципальных) контрактов, контрактов, договоров (соглашений) при обеспечении контроля за использованием средств, предоставляемых им из бюджета, без необходимости ежегодно устанавливать нормы о казначейском сопровождении в федеральном законе о федеральном бюджете на соответствующий финансовый год и плановый период.</w:t>
      </w:r>
    </w:p>
    <w:p w:rsidR="00277C54" w:rsidRPr="00277C54" w:rsidRDefault="00277C54" w:rsidP="00277C54">
      <w:pPr>
        <w:spacing w:after="0" w:line="240" w:lineRule="auto"/>
        <w:jc w:val="both"/>
        <w:rPr>
          <w:rFonts w:ascii="Verdana" w:eastAsia="Times New Roman" w:hAnsi="Verdana" w:cs="Times New Roman"/>
          <w:sz w:val="21"/>
          <w:szCs w:val="21"/>
          <w:lang w:eastAsia="ru-RU"/>
        </w:rPr>
      </w:pPr>
      <w:r w:rsidRPr="00277C54">
        <w:rPr>
          <w:rFonts w:ascii="Times New Roman" w:eastAsia="Times New Roman" w:hAnsi="Times New Roman" w:cs="Times New Roman"/>
          <w:sz w:val="24"/>
          <w:szCs w:val="24"/>
          <w:lang w:eastAsia="ru-RU"/>
        </w:rPr>
        <w:t> </w:t>
      </w:r>
    </w:p>
    <w:p w:rsidR="00277C54" w:rsidRPr="00277C54" w:rsidRDefault="00277C54" w:rsidP="00277C54">
      <w:pPr>
        <w:spacing w:after="0" w:line="240" w:lineRule="auto"/>
        <w:jc w:val="right"/>
        <w:rPr>
          <w:rFonts w:ascii="Verdana" w:eastAsia="Times New Roman" w:hAnsi="Verdana" w:cs="Times New Roman"/>
          <w:sz w:val="21"/>
          <w:szCs w:val="21"/>
          <w:lang w:eastAsia="ru-RU"/>
        </w:rPr>
      </w:pPr>
      <w:r w:rsidRPr="00277C54">
        <w:rPr>
          <w:rFonts w:ascii="Times New Roman" w:eastAsia="Times New Roman" w:hAnsi="Times New Roman" w:cs="Times New Roman"/>
          <w:sz w:val="24"/>
          <w:szCs w:val="24"/>
          <w:lang w:eastAsia="ru-RU"/>
        </w:rPr>
        <w:t>А.М.ЛАВРОВ</w:t>
      </w:r>
    </w:p>
    <w:p w:rsidR="00277C54" w:rsidRPr="00277C54" w:rsidRDefault="00277C54" w:rsidP="00277C54">
      <w:pPr>
        <w:spacing w:after="0" w:line="240" w:lineRule="auto"/>
        <w:rPr>
          <w:rFonts w:ascii="Verdana" w:eastAsia="Times New Roman" w:hAnsi="Verdana" w:cs="Times New Roman"/>
          <w:sz w:val="21"/>
          <w:szCs w:val="21"/>
          <w:lang w:eastAsia="ru-RU"/>
        </w:rPr>
      </w:pPr>
      <w:r w:rsidRPr="00277C54">
        <w:rPr>
          <w:rFonts w:ascii="Times New Roman" w:eastAsia="Times New Roman" w:hAnsi="Times New Roman" w:cs="Times New Roman"/>
          <w:sz w:val="24"/>
          <w:szCs w:val="24"/>
          <w:lang w:eastAsia="ru-RU"/>
        </w:rPr>
        <w:t>17.04.2020</w:t>
      </w:r>
    </w:p>
    <w:bookmarkEnd w:id="0"/>
    <w:p w:rsidR="00034B87" w:rsidRPr="00277C54" w:rsidRDefault="00277C54"/>
    <w:sectPr w:rsidR="00034B87" w:rsidRPr="00277C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C54"/>
    <w:rsid w:val="00277C54"/>
    <w:rsid w:val="005C245C"/>
    <w:rsid w:val="00AD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49EC9-6BA1-44C5-8DE0-E11304F9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7C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738232">
      <w:bodyDiv w:val="1"/>
      <w:marLeft w:val="0"/>
      <w:marRight w:val="0"/>
      <w:marTop w:val="0"/>
      <w:marBottom w:val="0"/>
      <w:divBdr>
        <w:top w:val="none" w:sz="0" w:space="0" w:color="auto"/>
        <w:left w:val="none" w:sz="0" w:space="0" w:color="auto"/>
        <w:bottom w:val="none" w:sz="0" w:space="0" w:color="auto"/>
        <w:right w:val="none" w:sz="0" w:space="0" w:color="auto"/>
      </w:divBdr>
      <w:divsChild>
        <w:div w:id="651525422">
          <w:marLeft w:val="0"/>
          <w:marRight w:val="0"/>
          <w:marTop w:val="0"/>
          <w:marBottom w:val="0"/>
          <w:divBdr>
            <w:top w:val="none" w:sz="0" w:space="0" w:color="auto"/>
            <w:left w:val="none" w:sz="0" w:space="0" w:color="auto"/>
            <w:bottom w:val="none" w:sz="0" w:space="0" w:color="auto"/>
            <w:right w:val="none" w:sz="0" w:space="0" w:color="auto"/>
          </w:divBdr>
          <w:divsChild>
            <w:div w:id="230696311">
              <w:marLeft w:val="0"/>
              <w:marRight w:val="0"/>
              <w:marTop w:val="0"/>
              <w:marBottom w:val="0"/>
              <w:divBdr>
                <w:top w:val="none" w:sz="0" w:space="0" w:color="auto"/>
                <w:left w:val="none" w:sz="0" w:space="0" w:color="auto"/>
                <w:bottom w:val="none" w:sz="0" w:space="0" w:color="auto"/>
                <w:right w:val="none" w:sz="0" w:space="0" w:color="auto"/>
              </w:divBdr>
            </w:div>
            <w:div w:id="1538395411">
              <w:marLeft w:val="0"/>
              <w:marRight w:val="0"/>
              <w:marTop w:val="0"/>
              <w:marBottom w:val="0"/>
              <w:divBdr>
                <w:top w:val="none" w:sz="0" w:space="0" w:color="auto"/>
                <w:left w:val="none" w:sz="0" w:space="0" w:color="auto"/>
                <w:bottom w:val="none" w:sz="0" w:space="0" w:color="auto"/>
                <w:right w:val="none" w:sz="0" w:space="0" w:color="auto"/>
              </w:divBdr>
            </w:div>
          </w:divsChild>
        </w:div>
        <w:div w:id="37515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1002</Words>
  <Characters>5717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2021-03-14T21:11:00Z</dcterms:created>
  <dcterms:modified xsi:type="dcterms:W3CDTF">2021-03-14T21:16:00Z</dcterms:modified>
</cp:coreProperties>
</file>