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DE" w:rsidRPr="00E00ADE" w:rsidRDefault="00E00ADE" w:rsidP="00E00ADE">
      <w:pPr>
        <w:spacing w:after="0" w:line="240" w:lineRule="auto"/>
        <w:jc w:val="center"/>
        <w:rPr>
          <w:rFonts w:ascii="Verdana" w:eastAsia="Times New Roman" w:hAnsi="Verdana" w:cs="Times New Roman"/>
          <w:b/>
          <w:bCs/>
          <w:sz w:val="21"/>
          <w:szCs w:val="21"/>
          <w:lang w:eastAsia="ru-RU"/>
        </w:rPr>
      </w:pPr>
      <w:bookmarkStart w:id="0" w:name="_GoBack"/>
      <w:r w:rsidRPr="00E00ADE">
        <w:rPr>
          <w:rFonts w:ascii="Arial" w:eastAsia="Times New Roman" w:hAnsi="Arial" w:cs="Arial"/>
          <w:b/>
          <w:bCs/>
          <w:sz w:val="24"/>
          <w:szCs w:val="24"/>
          <w:lang w:eastAsia="ru-RU"/>
        </w:rPr>
        <w:t>МИНИСТЕРСТВО ФИНАНСОВ РОССИЙСКОЙ ФЕДЕРАЦИИ</w:t>
      </w:r>
    </w:p>
    <w:p w:rsidR="00E00ADE" w:rsidRPr="00E00ADE" w:rsidRDefault="00E00ADE" w:rsidP="00E00ADE">
      <w:pPr>
        <w:spacing w:after="0" w:line="240" w:lineRule="auto"/>
        <w:jc w:val="center"/>
        <w:rPr>
          <w:rFonts w:ascii="Verdana" w:eastAsia="Times New Roman" w:hAnsi="Verdana" w:cs="Times New Roman"/>
          <w:b/>
          <w:bCs/>
          <w:sz w:val="21"/>
          <w:szCs w:val="21"/>
          <w:lang w:eastAsia="ru-RU"/>
        </w:rPr>
      </w:pPr>
      <w:r w:rsidRPr="00E00ADE">
        <w:rPr>
          <w:rFonts w:ascii="Arial" w:eastAsia="Times New Roman" w:hAnsi="Arial" w:cs="Arial"/>
          <w:b/>
          <w:bCs/>
          <w:sz w:val="24"/>
          <w:szCs w:val="24"/>
          <w:lang w:eastAsia="ru-RU"/>
        </w:rPr>
        <w:t> </w:t>
      </w:r>
    </w:p>
    <w:p w:rsidR="00E00ADE" w:rsidRPr="00E00ADE" w:rsidRDefault="00E00ADE" w:rsidP="00E00ADE">
      <w:pPr>
        <w:spacing w:after="0" w:line="240" w:lineRule="auto"/>
        <w:jc w:val="center"/>
        <w:rPr>
          <w:rFonts w:ascii="Verdana" w:eastAsia="Times New Roman" w:hAnsi="Verdana" w:cs="Times New Roman"/>
          <w:b/>
          <w:bCs/>
          <w:sz w:val="21"/>
          <w:szCs w:val="21"/>
          <w:lang w:eastAsia="ru-RU"/>
        </w:rPr>
      </w:pPr>
      <w:r w:rsidRPr="00E00ADE">
        <w:rPr>
          <w:rFonts w:ascii="Arial" w:eastAsia="Times New Roman" w:hAnsi="Arial" w:cs="Arial"/>
          <w:b/>
          <w:bCs/>
          <w:sz w:val="24"/>
          <w:szCs w:val="24"/>
          <w:lang w:eastAsia="ru-RU"/>
        </w:rPr>
        <w:t>ПИСЬМО</w:t>
      </w:r>
    </w:p>
    <w:p w:rsidR="00E00ADE" w:rsidRPr="00E00ADE" w:rsidRDefault="00E00ADE" w:rsidP="00E00ADE">
      <w:pPr>
        <w:spacing w:after="0" w:line="240" w:lineRule="auto"/>
        <w:jc w:val="center"/>
        <w:rPr>
          <w:rFonts w:ascii="Verdana" w:eastAsia="Times New Roman" w:hAnsi="Verdana" w:cs="Times New Roman"/>
          <w:b/>
          <w:bCs/>
          <w:sz w:val="21"/>
          <w:szCs w:val="21"/>
          <w:lang w:eastAsia="ru-RU"/>
        </w:rPr>
      </w:pPr>
      <w:r w:rsidRPr="00E00ADE">
        <w:rPr>
          <w:rFonts w:ascii="Arial" w:eastAsia="Times New Roman" w:hAnsi="Arial" w:cs="Arial"/>
          <w:b/>
          <w:bCs/>
          <w:sz w:val="24"/>
          <w:szCs w:val="24"/>
          <w:lang w:eastAsia="ru-RU"/>
        </w:rPr>
        <w:t>от 29 января 2021 г. № 02-06-10/5946</w:t>
      </w:r>
    </w:p>
    <w:p w:rsidR="00E00ADE" w:rsidRPr="00E00ADE" w:rsidRDefault="00E00ADE" w:rsidP="00E00ADE">
      <w:pPr>
        <w:spacing w:after="0" w:line="240" w:lineRule="auto"/>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 </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от 30.12.2020 и сообщает следующее.</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 xml:space="preserve">В силу положений постановления Правительства Российской Федерации от 30 июня 2004 г. № 329 "О Министерстве финансов Российской Федерации" в Министерстве финансов Российской Федерации не рассматриваются по существу </w:t>
      </w:r>
      <w:proofErr w:type="gramStart"/>
      <w:r w:rsidRPr="00E00ADE">
        <w:rPr>
          <w:rFonts w:ascii="Times New Roman" w:eastAsia="Times New Roman" w:hAnsi="Times New Roman" w:cs="Times New Roman"/>
          <w:sz w:val="24"/>
          <w:szCs w:val="24"/>
          <w:lang w:eastAsia="ru-RU"/>
        </w:rPr>
        <w:t>обращения</w:t>
      </w:r>
      <w:proofErr w:type="gramEnd"/>
      <w:r w:rsidRPr="00E00ADE">
        <w:rPr>
          <w:rFonts w:ascii="Times New Roman" w:eastAsia="Times New Roman" w:hAnsi="Times New Roman" w:cs="Times New Roman"/>
          <w:sz w:val="24"/>
          <w:szCs w:val="24"/>
          <w:lang w:eastAsia="ru-RU"/>
        </w:rPr>
        <w:t xml:space="preserve"> по оценке конкретных хозяйственных ситуаций.</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Вместе с тем Департамент считает необходимым сообщить следующее.</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Единые правила бухгалтерского учета доходов определены положениями федерального стандарта бухгалтерского учета для организаций государственного сектора "Доходы", утвержденного приказом Министерства финансов Российской Федерации от 27.02.2018 № 32н (далее - СГС "Доходы"),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Пунктом 7 СГС "Доходы" установлено, что доход для целей бухгалтерского учета признается в результате совершения фактов хозяйственной жизни (обменных операций или необменных операций) (далее - операции (события))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В силу положений СГС "Доходы" и Инструкции № 157н доходы текущего финансового года от неустоек (штрафов, пеней) признаются в бюджетном учете на дату возникновения требования к плательщику неустоек (штрафов, пеней)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 в сумме (денежной величине), которая надежно определена.</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Обращаем внимание: при начислении в бюджетном учете задолженности по суммам неустоек (штрафов, пеней), определенных условиями договоров (соглашений), при условии инициирования досудебного урегулирования или исковых требований в рамках судопроизводства размер поступлений от уплаты неустойки (штрафа, пени) (денежная (стоимостная) оценка объекта бухгалтерского учета) является оценочным значением в виде ожидаемых доходов.</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В соответствии с пунктом 301 Инструкции № 157н для учета сумм доходов, администрируемых в отчетном периоде, но относящихся к будущим отчетным периодам, предназначен счет 040140000 "Доходы будущих периодов".</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Порядок ведения бюджетного учета в органах государственной власти (государственных органах), органах местного самоуправления, казенных учреждениях, финансовых органах соответствующих бюджетов бюджетной системы Российской Федерации установлен Инструкцией по применению плана счетов бюджетного учета, утвержденной приказом Министерства финансов Российской Федерации от 06.12.2010 № 162н (далее - Инструкция № 162н).</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Согласно пункту 85 Инструкции № 162н учет расчетов по ущербу и иным доходам ведется на счетах аналитического учета счета 020900000 "Расчеты по ущербу и иным доходам".</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lastRenderedPageBreak/>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соответствующих счетов аналитического учета счета 020941560 "Увеличение дебиторской задолженности по доходам от штрафных санкций за нарушение условий контрактов (договоров)" в корреспонденции с кредитом счетов 040110141 "Доходы от штрафных санкций за нарушение законодательства о закупках, нарушение условий контрактов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Учитывая изложенное, до вступления в силу вынесенного постановления (решения) суда признание в бюджетном учете дебиторской задолженности по суммам неустоек (штрафов, пеней), определенных условиями договоров (соглашений), осуществляется в корреспонденции со счетом 140140141 "Доходы будущих периодов от штрафных санкций за нарушение законодательства о закупках, нарушение условий контрактов (договоров)".</w:t>
      </w:r>
    </w:p>
    <w:p w:rsidR="00E00ADE" w:rsidRPr="00E00ADE" w:rsidRDefault="00E00ADE" w:rsidP="00E00ADE">
      <w:pPr>
        <w:shd w:val="clear" w:color="auto" w:fill="F4F3F8"/>
        <w:spacing w:after="0" w:line="240" w:lineRule="auto"/>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Примечание.</w:t>
      </w:r>
    </w:p>
    <w:p w:rsidR="00E00ADE" w:rsidRPr="00E00ADE" w:rsidRDefault="00E00ADE" w:rsidP="00E00ADE">
      <w:pPr>
        <w:shd w:val="clear" w:color="auto" w:fill="F4F3F8"/>
        <w:spacing w:after="0" w:line="240" w:lineRule="auto"/>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В тексте документа, видимо, допущена опечатка: счет 020941660 имеет название "Уменьшение дебиторской задолженности по доходам от штрафных санкций за нарушение условий контрактов (договоров)", а не "Увеличение дебиторской задолженности по доходам от штрафных санкций за нарушение условий контрактов (договоров)".</w:t>
      </w:r>
    </w:p>
    <w:p w:rsidR="00E00ADE" w:rsidRPr="00E00ADE" w:rsidRDefault="00E00ADE" w:rsidP="00E00ADE">
      <w:pPr>
        <w:spacing w:after="0" w:line="240" w:lineRule="auto"/>
        <w:ind w:firstLine="540"/>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При вступлении в силу вынесенного постановления (решения) суда признание в бюджетном учете дохода текущего финансового периода в сумме неустоек (штрафов, пеней), установленных решением суда, отражается по дебету счета 140140141 "Доходы будущих периодов от штрафных санкций за нарушение законодательства о закупках, нарушение условий контрактов (договоров)" в корреспонденции с кредитом счета 140110141 "Доходы от штрафных санкций за нарушение законодательства о закупках, нарушение условий контрактов (договоров)" с отражением по необходимости корректировки ранее принятых к учету оценочных значений (при уменьшении - по дебету счета 140140141 "Доходы будущих периодов от штрафных санкций за нарушение законодательства о закупках, нарушение условий контрактов (договоров)" в корреспонденции с кредитом счета 020941660 "Увеличение дебиторской задолженности по доходам от штрафных санкций за нарушение условий контрактов (договоров)").</w:t>
      </w:r>
    </w:p>
    <w:p w:rsidR="00E00ADE" w:rsidRPr="00E00ADE" w:rsidRDefault="00E00ADE" w:rsidP="00E00ADE">
      <w:pPr>
        <w:spacing w:after="0" w:line="240" w:lineRule="auto"/>
        <w:jc w:val="both"/>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 </w:t>
      </w:r>
    </w:p>
    <w:p w:rsidR="00E00ADE" w:rsidRPr="00E00ADE" w:rsidRDefault="00E00ADE" w:rsidP="00E00ADE">
      <w:pPr>
        <w:spacing w:after="0" w:line="240" w:lineRule="auto"/>
        <w:jc w:val="right"/>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Заместитель директора Департамента</w:t>
      </w:r>
    </w:p>
    <w:p w:rsidR="00E00ADE" w:rsidRPr="00E00ADE" w:rsidRDefault="00E00ADE" w:rsidP="00E00ADE">
      <w:pPr>
        <w:spacing w:after="0" w:line="240" w:lineRule="auto"/>
        <w:jc w:val="right"/>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бюджетной методологии</w:t>
      </w:r>
    </w:p>
    <w:p w:rsidR="00E00ADE" w:rsidRPr="00E00ADE" w:rsidRDefault="00E00ADE" w:rsidP="00E00ADE">
      <w:pPr>
        <w:spacing w:after="0" w:line="240" w:lineRule="auto"/>
        <w:jc w:val="right"/>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и финансовой отчетности</w:t>
      </w:r>
    </w:p>
    <w:p w:rsidR="00E00ADE" w:rsidRPr="00E00ADE" w:rsidRDefault="00E00ADE" w:rsidP="00E00ADE">
      <w:pPr>
        <w:spacing w:after="0" w:line="240" w:lineRule="auto"/>
        <w:jc w:val="right"/>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в государственном секторе</w:t>
      </w:r>
    </w:p>
    <w:p w:rsidR="00E00ADE" w:rsidRPr="00E00ADE" w:rsidRDefault="00E00ADE" w:rsidP="00E00ADE">
      <w:pPr>
        <w:spacing w:after="0" w:line="240" w:lineRule="auto"/>
        <w:jc w:val="right"/>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С.В.СИВЕЦ</w:t>
      </w:r>
    </w:p>
    <w:p w:rsidR="00E00ADE" w:rsidRPr="00E00ADE" w:rsidRDefault="00E00ADE" w:rsidP="00E00ADE">
      <w:pPr>
        <w:spacing w:after="0" w:line="240" w:lineRule="auto"/>
        <w:rPr>
          <w:rFonts w:ascii="Verdana" w:eastAsia="Times New Roman" w:hAnsi="Verdana" w:cs="Times New Roman"/>
          <w:sz w:val="21"/>
          <w:szCs w:val="21"/>
          <w:lang w:eastAsia="ru-RU"/>
        </w:rPr>
      </w:pPr>
      <w:r w:rsidRPr="00E00ADE">
        <w:rPr>
          <w:rFonts w:ascii="Times New Roman" w:eastAsia="Times New Roman" w:hAnsi="Times New Roman" w:cs="Times New Roman"/>
          <w:sz w:val="24"/>
          <w:szCs w:val="24"/>
          <w:lang w:eastAsia="ru-RU"/>
        </w:rPr>
        <w:t>29.01.2021</w:t>
      </w:r>
    </w:p>
    <w:bookmarkEnd w:id="0"/>
    <w:p w:rsidR="00034B87" w:rsidRPr="00E00ADE" w:rsidRDefault="00E00ADE" w:rsidP="00E00ADE"/>
    <w:sectPr w:rsidR="00034B87" w:rsidRPr="00E0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DE"/>
    <w:rsid w:val="005C245C"/>
    <w:rsid w:val="00AD6C02"/>
    <w:rsid w:val="00E0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846B2-9BBD-44B4-A102-62A883D2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0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0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00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00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0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75459">
      <w:bodyDiv w:val="1"/>
      <w:marLeft w:val="0"/>
      <w:marRight w:val="0"/>
      <w:marTop w:val="0"/>
      <w:marBottom w:val="0"/>
      <w:divBdr>
        <w:top w:val="none" w:sz="0" w:space="0" w:color="auto"/>
        <w:left w:val="none" w:sz="0" w:space="0" w:color="auto"/>
        <w:bottom w:val="none" w:sz="0" w:space="0" w:color="auto"/>
        <w:right w:val="none" w:sz="0" w:space="0" w:color="auto"/>
      </w:divBdr>
    </w:div>
    <w:div w:id="987317520">
      <w:bodyDiv w:val="1"/>
      <w:marLeft w:val="0"/>
      <w:marRight w:val="0"/>
      <w:marTop w:val="0"/>
      <w:marBottom w:val="0"/>
      <w:divBdr>
        <w:top w:val="none" w:sz="0" w:space="0" w:color="auto"/>
        <w:left w:val="none" w:sz="0" w:space="0" w:color="auto"/>
        <w:bottom w:val="none" w:sz="0" w:space="0" w:color="auto"/>
        <w:right w:val="none" w:sz="0" w:space="0" w:color="auto"/>
      </w:divBdr>
    </w:div>
    <w:div w:id="1789204778">
      <w:bodyDiv w:val="1"/>
      <w:marLeft w:val="0"/>
      <w:marRight w:val="0"/>
      <w:marTop w:val="0"/>
      <w:marBottom w:val="0"/>
      <w:divBdr>
        <w:top w:val="none" w:sz="0" w:space="0" w:color="auto"/>
        <w:left w:val="none" w:sz="0" w:space="0" w:color="auto"/>
        <w:bottom w:val="none" w:sz="0" w:space="0" w:color="auto"/>
        <w:right w:val="none" w:sz="0" w:space="0" w:color="auto"/>
      </w:divBdr>
      <w:divsChild>
        <w:div w:id="2058551819">
          <w:marLeft w:val="0"/>
          <w:marRight w:val="0"/>
          <w:marTop w:val="0"/>
          <w:marBottom w:val="0"/>
          <w:divBdr>
            <w:top w:val="none" w:sz="0" w:space="0" w:color="auto"/>
            <w:left w:val="none" w:sz="0" w:space="0" w:color="auto"/>
            <w:bottom w:val="none" w:sz="0" w:space="0" w:color="auto"/>
            <w:right w:val="none" w:sz="0" w:space="0" w:color="auto"/>
          </w:divBdr>
          <w:divsChild>
            <w:div w:id="1676490474">
              <w:marLeft w:val="0"/>
              <w:marRight w:val="0"/>
              <w:marTop w:val="0"/>
              <w:marBottom w:val="0"/>
              <w:divBdr>
                <w:top w:val="none" w:sz="0" w:space="0" w:color="auto"/>
                <w:left w:val="none" w:sz="0" w:space="0" w:color="auto"/>
                <w:bottom w:val="none" w:sz="0" w:space="0" w:color="auto"/>
                <w:right w:val="none" w:sz="0" w:space="0" w:color="auto"/>
              </w:divBdr>
            </w:div>
            <w:div w:id="1155220731">
              <w:marLeft w:val="0"/>
              <w:marRight w:val="0"/>
              <w:marTop w:val="0"/>
              <w:marBottom w:val="0"/>
              <w:divBdr>
                <w:top w:val="none" w:sz="0" w:space="0" w:color="auto"/>
                <w:left w:val="none" w:sz="0" w:space="0" w:color="auto"/>
                <w:bottom w:val="none" w:sz="0" w:space="0" w:color="auto"/>
                <w:right w:val="none" w:sz="0" w:space="0" w:color="auto"/>
              </w:divBdr>
            </w:div>
          </w:divsChild>
        </w:div>
        <w:div w:id="168427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2021-03-18T09:50:00Z</dcterms:created>
  <dcterms:modified xsi:type="dcterms:W3CDTF">2021-03-18T10:19:00Z</dcterms:modified>
</cp:coreProperties>
</file>