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МИНИСТЕРСТВО ФИНАНСОВ РОССИЙСКОЙ ФЕДЕРАЦИИ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ПИСЬМО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от 28.02.2020 г. № 24-01-06/14838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Департамент бюджетной политики в сфере контрактной системы Минфина России, рассмотрев обращение от 21.01.2020 с предложением о рассмотрении вопроса о порядке определения сметной стоимости работ, выполненных подрядчиком, применяющим упрощенную систему налогообложения, в целях перерасчета цены контракта, сообщает следующее.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 соответствии с пунктом 4 статьи 3 Федерального закона от 05.04.2013 </w:t>
      </w:r>
      <w:r>
        <w:rPr>
          <w:rFonts w:ascii="Arial" w:hAnsi="Arial" w:cs="Arial"/>
          <w:color w:val="333333"/>
          <w:sz w:val="26"/>
          <w:szCs w:val="26"/>
        </w:rPr>
        <w:t>№</w:t>
      </w:r>
      <w:r>
        <w:rPr>
          <w:rFonts w:ascii="Arial" w:hAnsi="Arial" w:cs="Arial"/>
          <w:color w:val="333333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подпунктом 1 пункта 3 статьи 284 Налогового кодекса Российской Федерации (далее - Кодекс)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Таким образом, любой участник закупки, в том числе освобожденный от уплаты налога на добавленную стоимость и применяющий упрощенную систему налогообложения, вправе участвовать в закупках.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Вместе с тем сведения о применяемой участниками закупок системе налогообложения не включены в перечень документов и сведений, которые участники закупок должны представлять в составе заявки на участие в закупке.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силу положений Закона о контрактной системе при осуществлении закупки в извещении и документации о закупке заказчиком устанавливается начальная (максимальная) цена контракта.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о контрактной системе.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Запрос на предоставление ценовой информации может содержать в том числе описание объекта закупки,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качества, сроки предоставления ценовой информации, а также указание на то, что 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Таким образом, при установлении НМЦК заказчику необходимо учитывать все факторы, влияющие на цену, в том числе налоговые платежи, предусмотренные Кодексом.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Согласно части 1 статьи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о контрактной системе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о контрактной системе,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</w:t>
      </w:r>
      <w:r>
        <w:rPr>
          <w:rFonts w:ascii="Arial" w:hAnsi="Arial" w:cs="Arial"/>
          <w:color w:val="333333"/>
          <w:sz w:val="26"/>
          <w:szCs w:val="26"/>
        </w:rPr>
        <w:lastRenderedPageBreak/>
        <w:t>предусмотренных статьей 34 и статьей 95 Закона о контрактной системе (часть 2 статьи 34 Закона о контрактной системе).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Кодекса.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Таким образом, в соответствии с положениями Закона о контрактной системе контракт заключается и оплачивается заказчиком по цене победителя закупок вне зависимости от применяемой победителем системы налогообложения.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Сумма, предусмотренная контрактом за выполненный объем работ, должна быть уплачена победителю закупок в установленном контрактом размере.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о контрактной системе не предусмотрена.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 этом в ряде случаев в соответствии с пунктом 2 части 13 статьи 34 Закона о контрактной системе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Таким образом, Законом о контрактной системе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случае,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Дополнительно отмечаем, что пунктами 2 и 3 статьи 346.11 главы 26.2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</w:t>
      </w:r>
      <w:r>
        <w:rPr>
          <w:rFonts w:ascii="Arial" w:hAnsi="Arial" w:cs="Arial"/>
          <w:color w:val="333333"/>
          <w:sz w:val="26"/>
          <w:szCs w:val="26"/>
        </w:rPr>
        <w:lastRenderedPageBreak/>
        <w:t>Кодексом при ввозе товаров на территорию Российской Федерации и иные территории, находящиеся под ее юрисдикцией, а также налога на добавленную стоимость, уплачиваемого в соответствии со статьями 161 и 174.1 Кодекса.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Пунктом 5 постановления Пленума Высшего Арбитражного Суда Российской Федерации от 30 мая 2014 г. </w:t>
      </w:r>
      <w:r>
        <w:rPr>
          <w:rFonts w:ascii="Arial" w:hAnsi="Arial" w:cs="Arial"/>
          <w:color w:val="333333"/>
          <w:sz w:val="26"/>
          <w:szCs w:val="26"/>
        </w:rPr>
        <w:t>№</w:t>
      </w:r>
      <w:r>
        <w:rPr>
          <w:rFonts w:ascii="Arial" w:hAnsi="Arial" w:cs="Arial"/>
          <w:color w:val="333333"/>
          <w:sz w:val="26"/>
          <w:szCs w:val="26"/>
        </w:rPr>
        <w:t xml:space="preserve">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 На указанное лицо возлагается лишь обязанность перечислить в 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главы 21 Кодекса не предусмотрена.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Заместитель директора Департамента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Д.А.ГОТОВЦЕВ</w:t>
      </w:r>
    </w:p>
    <w:p w:rsidR="00085DA2" w:rsidRDefault="00085DA2" w:rsidP="00085DA2">
      <w:pPr>
        <w:pStyle w:val="a3"/>
        <w:spacing w:before="120" w:beforeAutospacing="0" w:after="120" w:afterAutospacing="0" w:line="255" w:lineRule="atLeast"/>
        <w:ind w:left="300" w:right="3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28.02.2020</w:t>
      </w:r>
    </w:p>
    <w:p w:rsidR="00034B87" w:rsidRDefault="00085DA2" w:rsidP="00085DA2">
      <w:pPr>
        <w:jc w:val="both"/>
      </w:pPr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A2"/>
    <w:rsid w:val="00085DA2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65C6-C679-498D-AE2E-D1A61920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2021-04-08T11:00:00Z</dcterms:created>
  <dcterms:modified xsi:type="dcterms:W3CDTF">2021-04-08T11:02:00Z</dcterms:modified>
</cp:coreProperties>
</file>