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F6" w:rsidRPr="00F95CF6" w:rsidRDefault="00F95CF6" w:rsidP="00F95C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p w:rsidR="00F95CF6" w:rsidRPr="00F95CF6" w:rsidRDefault="00F95CF6" w:rsidP="00F95CF6">
      <w:pPr>
        <w:jc w:val="center"/>
        <w:rPr>
          <w:rFonts w:ascii="Verdana" w:hAnsi="Verdana"/>
          <w:b/>
          <w:bCs/>
          <w:sz w:val="21"/>
          <w:szCs w:val="21"/>
        </w:rPr>
      </w:pPr>
      <w:r w:rsidRPr="00F95CF6"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95CF6" w:rsidRPr="00F95CF6" w:rsidRDefault="00F95CF6" w:rsidP="00F95CF6">
      <w:pPr>
        <w:jc w:val="center"/>
        <w:rPr>
          <w:rFonts w:ascii="Verdana" w:hAnsi="Verdana"/>
          <w:b/>
          <w:bCs/>
          <w:sz w:val="21"/>
          <w:szCs w:val="21"/>
        </w:rPr>
      </w:pPr>
      <w:r w:rsidRPr="00F95CF6">
        <w:rPr>
          <w:rFonts w:ascii="Arial" w:hAnsi="Arial" w:cs="Arial"/>
          <w:b/>
          <w:bCs/>
        </w:rPr>
        <w:t> </w:t>
      </w:r>
    </w:p>
    <w:p w:rsidR="00F95CF6" w:rsidRPr="00F95CF6" w:rsidRDefault="00F95CF6" w:rsidP="00F95CF6">
      <w:pPr>
        <w:jc w:val="center"/>
        <w:rPr>
          <w:rFonts w:ascii="Verdana" w:hAnsi="Verdana"/>
          <w:b/>
          <w:bCs/>
          <w:sz w:val="21"/>
          <w:szCs w:val="21"/>
        </w:rPr>
      </w:pPr>
      <w:r w:rsidRPr="00F95CF6">
        <w:rPr>
          <w:rFonts w:ascii="Arial" w:hAnsi="Arial" w:cs="Arial"/>
          <w:b/>
          <w:bCs/>
        </w:rPr>
        <w:t>ПИСЬМО</w:t>
      </w:r>
    </w:p>
    <w:p w:rsidR="00F95CF6" w:rsidRPr="00F95CF6" w:rsidRDefault="00F95CF6" w:rsidP="00F95CF6">
      <w:pPr>
        <w:jc w:val="center"/>
        <w:rPr>
          <w:rFonts w:ascii="Verdana" w:hAnsi="Verdana"/>
          <w:b/>
          <w:bCs/>
          <w:sz w:val="21"/>
          <w:szCs w:val="21"/>
        </w:rPr>
      </w:pPr>
      <w:r w:rsidRPr="00F95CF6">
        <w:rPr>
          <w:rFonts w:ascii="Arial" w:hAnsi="Arial" w:cs="Arial"/>
          <w:b/>
          <w:bCs/>
        </w:rPr>
        <w:t>от 1 апреля 2020 г. № 24-01-07/25879</w:t>
      </w:r>
    </w:p>
    <w:p w:rsidR="00F95CF6" w:rsidRPr="00F95CF6" w:rsidRDefault="00F95CF6" w:rsidP="00F95CF6">
      <w:pPr>
        <w:rPr>
          <w:rFonts w:ascii="Verdana" w:hAnsi="Verdana"/>
          <w:sz w:val="21"/>
          <w:szCs w:val="21"/>
        </w:rPr>
      </w:pPr>
      <w:r w:rsidRPr="00F95CF6">
        <w:t> 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Департамент бюджетной политики в сфере контрактной системы, рассмотрев обращение от 05.03.2020 по вопросу применения положений Федерального </w:t>
      </w:r>
      <w:r w:rsidRPr="00F95CF6">
        <w:rPr>
          <w:rStyle w:val="a3"/>
          <w:color w:val="auto"/>
          <w:u w:val="none"/>
        </w:rPr>
        <w:t>закона</w:t>
      </w:r>
      <w:r w:rsidRPr="00F95CF6">
        <w:t xml:space="preserve">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порядка обоснования начальной (максимальной) цены контракта, в рамках компетенции сообщает следующее.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В соответствии с </w:t>
      </w:r>
      <w:r w:rsidRPr="00F95CF6">
        <w:rPr>
          <w:rStyle w:val="a3"/>
          <w:color w:val="auto"/>
          <w:u w:val="none"/>
        </w:rPr>
        <w:t>Положением</w:t>
      </w:r>
      <w:r w:rsidRPr="00F95CF6">
        <w:t xml:space="preserve"> о Министерстве финансов Российской Федерации, утвержденным постановлением Правительства Российской Федерации от 30.06.2004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Положениями </w:t>
      </w:r>
      <w:r w:rsidRPr="00F95CF6">
        <w:rPr>
          <w:rStyle w:val="a3"/>
          <w:color w:val="auto"/>
          <w:u w:val="none"/>
        </w:rPr>
        <w:t>пунктов 11.8</w:t>
      </w:r>
      <w:r w:rsidRPr="00F95CF6">
        <w:t xml:space="preserve"> и </w:t>
      </w:r>
      <w:r w:rsidRPr="00F95CF6">
        <w:rPr>
          <w:rStyle w:val="a3"/>
          <w:color w:val="auto"/>
          <w:u w:val="none"/>
        </w:rPr>
        <w:t>12.5</w:t>
      </w:r>
      <w:r w:rsidRPr="00F95CF6">
        <w:t xml:space="preserve"> Регламента Министерства финансов Российской Федерации, утвержденного приказом Министерства финансов Российской Федерации от 14.09.2018 № 194н, предусмотрено, что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>Кроме того, в Министерстве, если законодательством Российской Федерации не установлено иное, не рассматриваются по существу обращения по проведению экспертиз договоров, учредительных и</w:t>
      </w:r>
      <w:r w:rsidRPr="00F95CF6">
        <w:t xml:space="preserve"> иных документов организаций, </w:t>
      </w:r>
      <w:proofErr w:type="gramStart"/>
      <w:r w:rsidRPr="00F95CF6">
        <w:t xml:space="preserve">а </w:t>
      </w:r>
      <w:r w:rsidRPr="00F95CF6">
        <w:t>также</w:t>
      </w:r>
      <w:proofErr w:type="gramEnd"/>
      <w:r w:rsidRPr="00F95CF6">
        <w:t xml:space="preserve"> по оценке конкретных хозяйственных ситуаций.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Вместе с тем в рамках установленной компетенции сообщаем, что в соответствии с </w:t>
      </w:r>
      <w:r w:rsidRPr="00F95CF6">
        <w:rPr>
          <w:rStyle w:val="a3"/>
          <w:color w:val="auto"/>
          <w:u w:val="none"/>
        </w:rPr>
        <w:t>частью 1 статьи 22</w:t>
      </w:r>
      <w:r w:rsidRPr="00F95CF6">
        <w:t xml:space="preserve"> Закона № 44-ФЗ начальная (максимальная) цена контракта и в предусмотренных указанным Федеральным законом случаях цена контракта, заключаемого с единственным поставщиком (подрядчиком, исполнителем) (далее - НМЦК), обосновывается заказчиком посредством применения следующих методов: метода сопоставимых рыночных цен (анализа рынка), нормативного метода, тарифного метода, проектно-сметного метода, затратного метода.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Согласно </w:t>
      </w:r>
      <w:r w:rsidRPr="00F95CF6">
        <w:rPr>
          <w:rStyle w:val="a3"/>
          <w:color w:val="auto"/>
          <w:u w:val="none"/>
        </w:rPr>
        <w:t>части 6 статьи 22</w:t>
      </w:r>
      <w:r w:rsidRPr="00F95CF6">
        <w:t xml:space="preserve"> Закона №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</w:t>
      </w:r>
      <w:r w:rsidRPr="00F95CF6">
        <w:rPr>
          <w:rStyle w:val="a3"/>
          <w:color w:val="auto"/>
          <w:u w:val="none"/>
        </w:rPr>
        <w:t>частями 7</w:t>
      </w:r>
      <w:r w:rsidRPr="00F95CF6">
        <w:t xml:space="preserve"> - </w:t>
      </w:r>
      <w:hyperlink r:id="rId4" w:history="1">
        <w:r w:rsidRPr="00F95CF6">
          <w:rPr>
            <w:rStyle w:val="a3"/>
            <w:color w:val="auto"/>
            <w:u w:val="none"/>
          </w:rPr>
          <w:t>11 указанной статьи</w:t>
        </w:r>
      </w:hyperlink>
      <w:r w:rsidRPr="00F95CF6">
        <w:t>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>В случае применения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При применении метода сопоставимых рыночных цен (анализа рынка) заказчик может использовать обоснованные им коэффициенты или индексы для пересчета цен товаров, работ, </w:t>
      </w:r>
      <w:r w:rsidRPr="00F95CF6">
        <w:lastRenderedPageBreak/>
        <w:t>услуг с учетом различий в характеристиках товаров, коммерческих и (или) финансовых условий поставок товаров, выполнения работ, оказания услуг.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</w:t>
      </w:r>
      <w:r w:rsidRPr="00F95CF6">
        <w:rPr>
          <w:rStyle w:val="a3"/>
          <w:color w:val="auto"/>
          <w:u w:val="none"/>
        </w:rPr>
        <w:t>статьи 22</w:t>
      </w:r>
      <w:r w:rsidRPr="00F95CF6">
        <w:t xml:space="preserve"> Закона № 44-ФЗ.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Кроме того, положениями </w:t>
      </w:r>
      <w:r w:rsidRPr="00F95CF6">
        <w:rPr>
          <w:rStyle w:val="a3"/>
          <w:color w:val="auto"/>
          <w:u w:val="none"/>
        </w:rPr>
        <w:t>части 12 статьи 22</w:t>
      </w:r>
      <w:r w:rsidRPr="00F95CF6">
        <w:t xml:space="preserve"> Закона № 44-ФЗ предусмотрено, что в случае невозможности применения для определения НМЦК методов, указанных в </w:t>
      </w:r>
      <w:r w:rsidRPr="00F95CF6">
        <w:rPr>
          <w:rStyle w:val="a3"/>
          <w:color w:val="auto"/>
          <w:u w:val="none"/>
        </w:rPr>
        <w:t>части 1 указанной статьи</w:t>
      </w:r>
      <w:r w:rsidRPr="00F95CF6">
        <w:t>, заказчик вправе применить иные методы. В этом случае в обоснование НМЦК заказчик обязан включить обоснование невозможности применения указанных методов.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Таким образом, при невозможности применения для определения НМЦК методов, указанных в </w:t>
      </w:r>
      <w:r w:rsidRPr="00F95CF6">
        <w:rPr>
          <w:rStyle w:val="a3"/>
          <w:color w:val="auto"/>
          <w:u w:val="none"/>
        </w:rPr>
        <w:t>части 1 статьи 22</w:t>
      </w:r>
      <w:r w:rsidRPr="00F95CF6">
        <w:t xml:space="preserve"> Закона № 44-ФЗ, заказчики вправе применять иные методы, не предусмотренные </w:t>
      </w:r>
      <w:r w:rsidRPr="00F95CF6">
        <w:rPr>
          <w:rStyle w:val="a3"/>
          <w:color w:val="auto"/>
          <w:u w:val="none"/>
        </w:rPr>
        <w:t>частью 1 статьи 22</w:t>
      </w:r>
      <w:r w:rsidRPr="00F95CF6">
        <w:t xml:space="preserve"> Закона № 44-ФЗ.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>При этом необходимо отметить, что применение иных методов для расчета НМЦК не должно противоречить положениям законодательства в сфере контрактной системы.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 xml:space="preserve">Положениями </w:t>
      </w:r>
      <w:r w:rsidRPr="00F95CF6">
        <w:rPr>
          <w:rStyle w:val="a3"/>
          <w:color w:val="auto"/>
          <w:u w:val="none"/>
        </w:rPr>
        <w:t>части 22 статьи 22</w:t>
      </w:r>
      <w:r w:rsidRPr="00F95CF6">
        <w:t xml:space="preserve"> Закона № 44-ФЗ также установлено, что Правительство Российской Федерации вправе определить сферы деятельности, в которых при осуществлении закупок устанавливается порядок определения начальной (максимальной) цены контракта, цены контракта, заключаемого с единственным поставщиком (подрядчиком, исполнителем), и федеральные органы исполнительной власти, Государственную корпорацию по атомной энергии "</w:t>
      </w:r>
      <w:proofErr w:type="spellStart"/>
      <w:r w:rsidRPr="00F95CF6">
        <w:t>Росатом</w:t>
      </w:r>
      <w:proofErr w:type="spellEnd"/>
      <w:r w:rsidRPr="00F95CF6">
        <w:t>", Государственную корпорацию по космической деятельности "</w:t>
      </w:r>
      <w:proofErr w:type="spellStart"/>
      <w:r w:rsidRPr="00F95CF6">
        <w:t>Роскосмос</w:t>
      </w:r>
      <w:proofErr w:type="spellEnd"/>
      <w:r w:rsidRPr="00F95CF6">
        <w:t>", уполномоченные устанавливать такой порядок.</w:t>
      </w:r>
    </w:p>
    <w:p w:rsidR="00F95CF6" w:rsidRPr="00F95CF6" w:rsidRDefault="00F95CF6" w:rsidP="00F95CF6">
      <w:pPr>
        <w:ind w:firstLine="540"/>
        <w:jc w:val="both"/>
        <w:rPr>
          <w:rFonts w:ascii="Verdana" w:hAnsi="Verdana"/>
          <w:sz w:val="21"/>
          <w:szCs w:val="21"/>
        </w:rPr>
      </w:pPr>
      <w:r w:rsidRPr="00F95CF6">
        <w:t>Учитывая изложенное, заказчик самостоятельно формирует НМЦК с учетом всех необходимых затрат и должен учитывать все факторы, влияющие на цену: условия и сроки поставки, риски, связанные с возможностью повышения цены.</w:t>
      </w:r>
    </w:p>
    <w:p w:rsidR="00F95CF6" w:rsidRPr="00F95CF6" w:rsidRDefault="00F95CF6" w:rsidP="00F95CF6">
      <w:pPr>
        <w:rPr>
          <w:rFonts w:ascii="Verdana" w:hAnsi="Verdana"/>
          <w:sz w:val="21"/>
          <w:szCs w:val="21"/>
        </w:rPr>
      </w:pPr>
      <w:r w:rsidRPr="00F95CF6">
        <w:t> </w:t>
      </w:r>
    </w:p>
    <w:p w:rsidR="00F95CF6" w:rsidRPr="00F95CF6" w:rsidRDefault="00F95CF6" w:rsidP="00F95CF6">
      <w:pPr>
        <w:jc w:val="right"/>
        <w:rPr>
          <w:rFonts w:ascii="Verdana" w:hAnsi="Verdana"/>
          <w:sz w:val="21"/>
          <w:szCs w:val="21"/>
        </w:rPr>
      </w:pPr>
      <w:r w:rsidRPr="00F95CF6">
        <w:t>Заместитель директора Департамента</w:t>
      </w:r>
    </w:p>
    <w:p w:rsidR="00F95CF6" w:rsidRPr="00F95CF6" w:rsidRDefault="00F95CF6" w:rsidP="00F95CF6">
      <w:pPr>
        <w:jc w:val="right"/>
        <w:rPr>
          <w:rFonts w:ascii="Verdana" w:hAnsi="Verdana"/>
          <w:sz w:val="21"/>
          <w:szCs w:val="21"/>
        </w:rPr>
      </w:pPr>
      <w:r w:rsidRPr="00F95CF6">
        <w:t>Д.А.ГОТОВЦЕВ</w:t>
      </w:r>
    </w:p>
    <w:p w:rsidR="00F95CF6" w:rsidRPr="00F95CF6" w:rsidRDefault="00F95CF6" w:rsidP="00F95CF6">
      <w:pPr>
        <w:rPr>
          <w:rFonts w:ascii="Verdana" w:hAnsi="Verdana"/>
          <w:sz w:val="21"/>
          <w:szCs w:val="21"/>
        </w:rPr>
      </w:pPr>
      <w:r w:rsidRPr="00F95CF6">
        <w:t>01.04.2020</w:t>
      </w:r>
    </w:p>
    <w:bookmarkEnd w:id="0"/>
    <w:p w:rsidR="00034B87" w:rsidRPr="00F95CF6" w:rsidRDefault="00F95CF6"/>
    <w:sectPr w:rsidR="00034B87" w:rsidRPr="00F9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F6"/>
    <w:rsid w:val="005C245C"/>
    <w:rsid w:val="00AD6C02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DC230-412D-4592-AEE9-CAB97D8D6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5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51650375273E7A618F378A9C2B9741B8&amp;req=doc&amp;base=LAW&amp;n=334438&amp;dst=100236&amp;fld=134&amp;REFFIELD=134&amp;REFDST=100010&amp;REFDOC=196409&amp;REFBASE=QUEST&amp;stat=refcode%3D10881%3Bdstident%3D100236%3Bindex%3D14&amp;date=11.04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2021-04-13T04:19:00Z</dcterms:created>
  <dcterms:modified xsi:type="dcterms:W3CDTF">2021-04-13T04:21:00Z</dcterms:modified>
</cp:coreProperties>
</file>