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6D" w:rsidRPr="00B74D6D" w:rsidRDefault="00B74D6D" w:rsidP="00B74D6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74D6D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B74D6D" w:rsidRPr="00B74D6D" w:rsidRDefault="00B74D6D" w:rsidP="00B74D6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74D6D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B74D6D" w:rsidRPr="00B74D6D" w:rsidRDefault="00B74D6D" w:rsidP="00B74D6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74D6D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B74D6D" w:rsidRPr="00B74D6D" w:rsidRDefault="00B74D6D" w:rsidP="00B74D6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  <w:r w:rsidRPr="00B74D6D">
        <w:rPr>
          <w:rStyle w:val="blk"/>
          <w:rFonts w:ascii="Arial" w:hAnsi="Arial" w:cs="Arial"/>
          <w:b/>
          <w:bCs/>
          <w:sz w:val="30"/>
          <w:szCs w:val="30"/>
        </w:rPr>
        <w:t>от 2 марта 2020 г. № 24-01-07/15325</w:t>
      </w:r>
    </w:p>
    <w:p w:rsidR="00B74D6D" w:rsidRPr="00B74D6D" w:rsidRDefault="00B74D6D" w:rsidP="00B74D6D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B74D6D">
        <w:rPr>
          <w:rStyle w:val="nobr"/>
          <w:sz w:val="30"/>
          <w:szCs w:val="30"/>
        </w:rPr>
        <w:t> 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 </w:t>
      </w:r>
      <w:r w:rsidRPr="00B74D6D">
        <w:rPr>
          <w:rStyle w:val="a3"/>
          <w:color w:val="auto"/>
          <w:sz w:val="30"/>
          <w:szCs w:val="30"/>
          <w:u w:val="none"/>
        </w:rPr>
        <w:t>закона</w:t>
      </w:r>
      <w:r w:rsidRPr="00B74D6D">
        <w:rPr>
          <w:rStyle w:val="blk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привлечения к исполнению контракта субподрядчиков из числа субъектов малого предпринимательства и социально ориентированных некоммерческих организаций, сообщает следующее.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В соответствии с </w:t>
      </w:r>
      <w:r w:rsidRPr="00B74D6D">
        <w:rPr>
          <w:rStyle w:val="a3"/>
          <w:color w:val="auto"/>
          <w:sz w:val="30"/>
          <w:szCs w:val="30"/>
          <w:u w:val="none"/>
        </w:rPr>
        <w:t>Положением</w:t>
      </w:r>
      <w:r w:rsidRPr="00B74D6D">
        <w:rPr>
          <w:rStyle w:val="blk"/>
          <w:sz w:val="30"/>
          <w:szCs w:val="30"/>
        </w:rPr>
        <w:t>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Согласно </w:t>
      </w:r>
      <w:r w:rsidRPr="00B74D6D">
        <w:rPr>
          <w:rStyle w:val="a3"/>
          <w:color w:val="auto"/>
          <w:sz w:val="30"/>
          <w:szCs w:val="30"/>
          <w:u w:val="none"/>
        </w:rPr>
        <w:t>пункту 11.8</w:t>
      </w:r>
      <w:r w:rsidRPr="00B74D6D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lastRenderedPageBreak/>
        <w:t>Вместе с тем в рамках установленной компетенции полагаем возможным отметить следующее.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Согласно </w:t>
      </w:r>
      <w:r w:rsidRPr="00B74D6D">
        <w:rPr>
          <w:rStyle w:val="a3"/>
          <w:color w:val="auto"/>
          <w:sz w:val="30"/>
          <w:szCs w:val="30"/>
          <w:u w:val="none"/>
        </w:rPr>
        <w:t>части 5 статьи 30</w:t>
      </w:r>
      <w:r w:rsidRPr="00B74D6D">
        <w:rPr>
          <w:rStyle w:val="blk"/>
          <w:sz w:val="30"/>
          <w:szCs w:val="30"/>
        </w:rPr>
        <w:t> Закона №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(далее - СМП, СОНКО),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a3"/>
          <w:color w:val="auto"/>
          <w:sz w:val="30"/>
          <w:szCs w:val="30"/>
          <w:u w:val="none"/>
        </w:rPr>
        <w:t>Частью 1 статьи 94</w:t>
      </w:r>
      <w:r w:rsidRPr="00B74D6D">
        <w:rPr>
          <w:rStyle w:val="blk"/>
          <w:sz w:val="30"/>
          <w:szCs w:val="30"/>
        </w:rPr>
        <w:t> Закона № 44-ФЗ установлено, что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№ 44-ФЗ.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В соответствии с </w:t>
      </w:r>
      <w:r w:rsidRPr="00B74D6D">
        <w:rPr>
          <w:rStyle w:val="a3"/>
          <w:color w:val="auto"/>
          <w:sz w:val="30"/>
          <w:szCs w:val="30"/>
          <w:u w:val="none"/>
        </w:rPr>
        <w:t>частью 6 статьи 30</w:t>
      </w:r>
      <w:r w:rsidRPr="00B74D6D">
        <w:rPr>
          <w:rStyle w:val="blk"/>
          <w:sz w:val="30"/>
          <w:szCs w:val="30"/>
        </w:rPr>
        <w:t> Закона № 44-ФЗ условие о привлечении к исполнению контрактов субподрядчиков, соисполнителей из числа СМП, СОНКО в случае, предусмотренном </w:t>
      </w:r>
      <w:r w:rsidRPr="00B74D6D">
        <w:rPr>
          <w:rStyle w:val="a3"/>
          <w:color w:val="auto"/>
          <w:sz w:val="30"/>
          <w:szCs w:val="30"/>
          <w:u w:val="none"/>
        </w:rPr>
        <w:t>частью 5 указанной статьи</w:t>
      </w:r>
      <w:r w:rsidRPr="00B74D6D">
        <w:rPr>
          <w:rStyle w:val="blk"/>
          <w:sz w:val="30"/>
          <w:szCs w:val="30"/>
        </w:rPr>
        <w:t>, включается в контракты с указанием объема такого привлечения, установленного в виде процента от цены контракта. В контракты 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СМП и СОНКО.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Согласно </w:t>
      </w:r>
      <w:r w:rsidRPr="00B74D6D">
        <w:rPr>
          <w:rStyle w:val="a3"/>
          <w:color w:val="auto"/>
          <w:sz w:val="30"/>
          <w:szCs w:val="30"/>
          <w:u w:val="none"/>
        </w:rPr>
        <w:t>части 1 статьи 706</w:t>
      </w:r>
      <w:r w:rsidRPr="00B74D6D">
        <w:rPr>
          <w:rStyle w:val="blk"/>
          <w:sz w:val="30"/>
          <w:szCs w:val="30"/>
        </w:rPr>
        <w:t> Гражданского кодекса Российской Федерации,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обязательств других лиц (субподрядчиков).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Учитывая изложенное, в случае если для исполнения контракта предусмотрена закупка товара, то договор поставки такого товара может являться подтверждением надлежащего выполнения требования о привлечении к исполнению контракта СМП.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lastRenderedPageBreak/>
        <w:t>Дополнительно Минфин России обращает внимание, что вопрос о наличии либо об отсутствии признаков нарушения </w:t>
      </w:r>
      <w:r w:rsidRPr="00B74D6D">
        <w:rPr>
          <w:rStyle w:val="a3"/>
          <w:color w:val="auto"/>
          <w:sz w:val="30"/>
          <w:szCs w:val="30"/>
          <w:u w:val="none"/>
        </w:rPr>
        <w:t>Закона</w:t>
      </w:r>
      <w:r w:rsidRPr="00B74D6D">
        <w:rPr>
          <w:rStyle w:val="blk"/>
          <w:sz w:val="30"/>
          <w:szCs w:val="30"/>
        </w:rPr>
        <w:t> № 44-ФЗ рассматривается органом исполнительной власти, уполномоченным на осуществление контроля (надзора) в сфере государственного оборонного заказа и в сфере закупок товаров, работ, услуг для обеспечения государственных и муниципальных нужд, а также согласование применения закрытых способов определения поставщиков (подрядчиков, исполнителей), в каждом конкретном случае, исходя из всех обстоятельств дела.</w:t>
      </w:r>
    </w:p>
    <w:p w:rsidR="00B74D6D" w:rsidRPr="00B74D6D" w:rsidRDefault="00B74D6D" w:rsidP="00B74D6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В соответствии с </w:t>
      </w:r>
      <w:r w:rsidRPr="00B74D6D">
        <w:rPr>
          <w:rStyle w:val="a3"/>
          <w:color w:val="auto"/>
          <w:sz w:val="30"/>
          <w:szCs w:val="30"/>
          <w:u w:val="none"/>
        </w:rPr>
        <w:t>пунктом 1</w:t>
      </w:r>
      <w:r w:rsidRPr="00B74D6D">
        <w:rPr>
          <w:rStyle w:val="blk"/>
          <w:sz w:val="30"/>
          <w:szCs w:val="30"/>
        </w:rPr>
        <w:t> Положения о Федеральной антимонопольной службе, утвержденного постановлением Правительства Российской Федерации от 30 июня 2004 г. № 331, ФАС России является уполномоченным 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в связи с чем по вопросу о наличии либо об отсутствии признаков нарушения </w:t>
      </w:r>
      <w:r w:rsidRPr="00B74D6D">
        <w:rPr>
          <w:rStyle w:val="a3"/>
          <w:color w:val="auto"/>
          <w:sz w:val="30"/>
          <w:szCs w:val="30"/>
          <w:u w:val="none"/>
        </w:rPr>
        <w:t>Закона</w:t>
      </w:r>
      <w:r w:rsidRPr="00B74D6D">
        <w:rPr>
          <w:rStyle w:val="blk"/>
          <w:sz w:val="30"/>
          <w:szCs w:val="30"/>
        </w:rPr>
        <w:t> № 44-ФЗ заявитель вправе обратиться в ФАС России.</w:t>
      </w:r>
    </w:p>
    <w:p w:rsidR="00B74D6D" w:rsidRPr="00B74D6D" w:rsidRDefault="00B74D6D" w:rsidP="00B74D6D">
      <w:pPr>
        <w:shd w:val="clear" w:color="auto" w:fill="FFFFFF"/>
        <w:spacing w:line="288" w:lineRule="atLeast"/>
        <w:rPr>
          <w:sz w:val="30"/>
          <w:szCs w:val="30"/>
        </w:rPr>
      </w:pPr>
      <w:r w:rsidRPr="00B74D6D">
        <w:rPr>
          <w:rStyle w:val="nobr"/>
          <w:sz w:val="30"/>
          <w:szCs w:val="30"/>
        </w:rPr>
        <w:t> </w:t>
      </w:r>
    </w:p>
    <w:p w:rsidR="00B74D6D" w:rsidRPr="00B74D6D" w:rsidRDefault="00B74D6D" w:rsidP="00B74D6D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Заместитель директора Департамента</w:t>
      </w:r>
    </w:p>
    <w:p w:rsidR="00B74D6D" w:rsidRPr="00B74D6D" w:rsidRDefault="00B74D6D" w:rsidP="00B74D6D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Д.А.ГОТОВЦЕВ</w:t>
      </w:r>
    </w:p>
    <w:p w:rsidR="00B74D6D" w:rsidRPr="00B74D6D" w:rsidRDefault="00B74D6D" w:rsidP="00B74D6D">
      <w:pPr>
        <w:shd w:val="clear" w:color="auto" w:fill="FFFFFF"/>
        <w:spacing w:line="288" w:lineRule="atLeast"/>
        <w:rPr>
          <w:sz w:val="30"/>
          <w:szCs w:val="30"/>
        </w:rPr>
      </w:pPr>
      <w:r w:rsidRPr="00B74D6D">
        <w:rPr>
          <w:rStyle w:val="blk"/>
          <w:sz w:val="30"/>
          <w:szCs w:val="30"/>
        </w:rPr>
        <w:t>02.03.2020</w:t>
      </w:r>
    </w:p>
    <w:p w:rsidR="00B74D6D" w:rsidRPr="00B74D6D" w:rsidRDefault="00B74D6D" w:rsidP="00B74D6D">
      <w:pPr>
        <w:shd w:val="clear" w:color="auto" w:fill="FFFFFF"/>
        <w:spacing w:line="288" w:lineRule="atLeast"/>
        <w:rPr>
          <w:rFonts w:ascii="Arial" w:hAnsi="Arial" w:cs="Arial"/>
        </w:rPr>
      </w:pPr>
      <w:r w:rsidRPr="00B74D6D">
        <w:rPr>
          <w:rStyle w:val="nobr"/>
          <w:sz w:val="30"/>
          <w:szCs w:val="30"/>
        </w:rPr>
        <w:t> </w:t>
      </w:r>
    </w:p>
    <w:p w:rsidR="00B74D6D" w:rsidRPr="00B74D6D" w:rsidRDefault="00B74D6D" w:rsidP="00B74D6D">
      <w:pPr>
        <w:shd w:val="clear" w:color="auto" w:fill="FFFFFF"/>
        <w:spacing w:line="288" w:lineRule="atLeast"/>
        <w:rPr>
          <w:rFonts w:ascii="Arial" w:hAnsi="Arial" w:cs="Arial"/>
        </w:rPr>
      </w:pPr>
      <w:r w:rsidRPr="00B74D6D">
        <w:rPr>
          <w:rStyle w:val="nobr"/>
          <w:sz w:val="30"/>
          <w:szCs w:val="30"/>
        </w:rPr>
        <w:t> </w:t>
      </w:r>
    </w:p>
    <w:p w:rsidR="00034B87" w:rsidRPr="00B74D6D" w:rsidRDefault="00B74D6D"/>
    <w:sectPr w:rsidR="00034B87" w:rsidRPr="00B7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6D"/>
    <w:rsid w:val="005C245C"/>
    <w:rsid w:val="00AD6C02"/>
    <w:rsid w:val="00B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F5308-04E0-4181-A0A5-6640815B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D6D"/>
    <w:rPr>
      <w:color w:val="0000FF"/>
      <w:u w:val="single"/>
    </w:rPr>
  </w:style>
  <w:style w:type="character" w:customStyle="1" w:styleId="blk">
    <w:name w:val="blk"/>
    <w:basedOn w:val="a0"/>
    <w:rsid w:val="00B74D6D"/>
  </w:style>
  <w:style w:type="character" w:customStyle="1" w:styleId="nobr">
    <w:name w:val="nobr"/>
    <w:basedOn w:val="a0"/>
    <w:rsid w:val="00B7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2021-04-20T10:29:00Z</dcterms:created>
  <dcterms:modified xsi:type="dcterms:W3CDTF">2021-04-20T10:31:00Z</dcterms:modified>
</cp:coreProperties>
</file>