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46" w:rsidRDefault="00D35D46" w:rsidP="00D35D46">
      <w:pPr>
        <w:shd w:val="clear" w:color="auto" w:fill="FFFFFF"/>
        <w:spacing w:line="288" w:lineRule="atLeast"/>
        <w:rPr>
          <w:rStyle w:val="blk"/>
          <w:rFonts w:ascii="Arial" w:hAnsi="Arial" w:cs="Arial"/>
          <w:b/>
          <w:bCs/>
          <w:color w:val="000000"/>
          <w:sz w:val="30"/>
          <w:szCs w:val="30"/>
        </w:rPr>
      </w:pPr>
    </w:p>
    <w:p w:rsidR="00D35D46" w:rsidRDefault="00D35D46" w:rsidP="00D35D4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D35D46" w:rsidRDefault="00D35D46" w:rsidP="00D35D46">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D35D46" w:rsidRDefault="00D35D46" w:rsidP="00D35D4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D35D46" w:rsidRDefault="00D35D46" w:rsidP="00D35D46">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20 мая 2020 г. № 24-03-08/41431</w:t>
      </w:r>
    </w:p>
    <w:p w:rsidR="00D35D46" w:rsidRDefault="00D35D46" w:rsidP="00D35D46">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предложения по внесению изменений в Бюджетный </w:t>
      </w:r>
      <w:r w:rsidRPr="00FE6925">
        <w:rPr>
          <w:sz w:val="30"/>
          <w:szCs w:val="30"/>
        </w:rPr>
        <w:t>кодекс</w:t>
      </w:r>
      <w:r>
        <w:rPr>
          <w:rStyle w:val="blk"/>
          <w:color w:val="000000"/>
          <w:sz w:val="30"/>
          <w:szCs w:val="30"/>
        </w:rPr>
        <w:t> Российской Федерации и Федеральный </w:t>
      </w:r>
      <w:r w:rsidRPr="00FE6925">
        <w:rPr>
          <w:sz w:val="30"/>
          <w:szCs w:val="30"/>
        </w:rPr>
        <w:t>закон</w:t>
      </w:r>
      <w:r>
        <w:rPr>
          <w:rStyle w:val="blk"/>
          <w:color w:val="000000"/>
          <w:sz w:val="30"/>
          <w:szCs w:val="30"/>
        </w:rPr>
        <w:t> от 5 апреля 2013 года № 44-ФЗ "О контрактной системе в сфере закупок товаров, работ, услуг для обеспечения государственных (муниципальных) нужд" (далее - предложения, Бюджетный кодекс, Закон № 44-ФЗ соответственно) в части использования механизма факторинга в качестве принятой на период пандемии антикризисной меры, в рамках компетенции сообщает следующее.</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Согласно </w:t>
      </w:r>
      <w:r w:rsidRPr="00FE6925">
        <w:rPr>
          <w:sz w:val="30"/>
          <w:szCs w:val="30"/>
        </w:rPr>
        <w:t>части 1 статьи 2</w:t>
      </w:r>
      <w:r>
        <w:rPr>
          <w:rStyle w:val="blk"/>
          <w:color w:val="000000"/>
          <w:sz w:val="30"/>
          <w:szCs w:val="30"/>
        </w:rPr>
        <w:t> Закона № 44-ФЗ законодательство о контрактной системе основывается в том числе на положениях Гражданского </w:t>
      </w:r>
      <w:r w:rsidRPr="00FE6925">
        <w:rPr>
          <w:sz w:val="30"/>
          <w:szCs w:val="30"/>
        </w:rPr>
        <w:t>кодекса</w:t>
      </w:r>
      <w:r>
        <w:rPr>
          <w:rStyle w:val="blk"/>
          <w:color w:val="000000"/>
          <w:sz w:val="30"/>
          <w:szCs w:val="30"/>
        </w:rPr>
        <w:t> Российской Федерации и Бюджетного кодекса (далее - Гражданский кодекс).</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Согласно </w:t>
      </w:r>
      <w:r w:rsidRPr="00FE6925">
        <w:rPr>
          <w:sz w:val="30"/>
          <w:szCs w:val="30"/>
        </w:rPr>
        <w:t>статье 432</w:t>
      </w:r>
      <w:r>
        <w:rPr>
          <w:rStyle w:val="blk"/>
          <w:color w:val="000000"/>
          <w:sz w:val="30"/>
          <w:szCs w:val="30"/>
        </w:rPr>
        <w:t> Гражданского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35D46" w:rsidRDefault="00D35D46" w:rsidP="00D35D46">
      <w:pPr>
        <w:shd w:val="clear" w:color="auto" w:fill="FFFFFF"/>
        <w:spacing w:line="288" w:lineRule="atLeast"/>
        <w:ind w:firstLine="540"/>
        <w:jc w:val="both"/>
        <w:rPr>
          <w:color w:val="000000"/>
          <w:sz w:val="30"/>
          <w:szCs w:val="30"/>
        </w:rPr>
      </w:pPr>
      <w:r w:rsidRPr="00FE6925">
        <w:rPr>
          <w:sz w:val="30"/>
          <w:szCs w:val="30"/>
        </w:rPr>
        <w:t>Частью 2 статьи 34</w:t>
      </w:r>
      <w:r>
        <w:rPr>
          <w:rStyle w:val="blk"/>
          <w:color w:val="000000"/>
          <w:sz w:val="30"/>
          <w:szCs w:val="30"/>
        </w:rPr>
        <w:t> Закона № 44-ФЗ установлено, что при заключении и исполнении контракта изменение его условий не допускается, за исключением случаев, предусмотренных </w:t>
      </w:r>
      <w:r w:rsidRPr="00FE6925">
        <w:rPr>
          <w:sz w:val="30"/>
          <w:szCs w:val="30"/>
        </w:rPr>
        <w:t>статьей 34</w:t>
      </w:r>
      <w:r>
        <w:rPr>
          <w:rStyle w:val="blk"/>
          <w:color w:val="000000"/>
          <w:sz w:val="30"/>
          <w:szCs w:val="30"/>
        </w:rPr>
        <w:t> и </w:t>
      </w:r>
      <w:r w:rsidRPr="00FE6925">
        <w:rPr>
          <w:sz w:val="30"/>
          <w:szCs w:val="30"/>
        </w:rPr>
        <w:t>статьей 95</w:t>
      </w:r>
      <w:r>
        <w:rPr>
          <w:rStyle w:val="blk"/>
          <w:color w:val="000000"/>
          <w:sz w:val="30"/>
          <w:szCs w:val="30"/>
        </w:rPr>
        <w:t> Закона № 44-ФЗ.</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lastRenderedPageBreak/>
        <w:t>Согласно </w:t>
      </w:r>
      <w:r w:rsidRPr="00FE6925">
        <w:rPr>
          <w:sz w:val="30"/>
          <w:szCs w:val="30"/>
        </w:rPr>
        <w:t>подпункту 1 части 13 статьи 34</w:t>
      </w:r>
      <w:r>
        <w:rPr>
          <w:rStyle w:val="blk"/>
          <w:color w:val="000000"/>
          <w:sz w:val="30"/>
          <w:szCs w:val="30"/>
        </w:rPr>
        <w:t> Закона № 44-ФЗ в контракт включается в том числе обязательное условие о порядке и сроках оплаты товара, работы или услуги.</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Таким образом, условие о порядке оплаты товара, работы или услуги, включая платежные реквизиты, которые указаны в государственном (муниципальном) контракте, является существенным и в силу положений, определенных законодательством о контрактной системе в сфере закупок товаров, работ, услуг для обеспечения государственных и муниципальных нужд, не может быть изменено.</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Кроме того, </w:t>
      </w:r>
      <w:r w:rsidRPr="00FE6925">
        <w:rPr>
          <w:sz w:val="30"/>
          <w:szCs w:val="30"/>
        </w:rPr>
        <w:t>частью 5 статьи 95</w:t>
      </w:r>
      <w:r>
        <w:rPr>
          <w:rStyle w:val="blk"/>
          <w:color w:val="000000"/>
          <w:sz w:val="30"/>
          <w:szCs w:val="30"/>
        </w:rPr>
        <w:t> Закона № 44-ФЗ установлено, что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Необходимо отметить, что в соответствии с положениями </w:t>
      </w:r>
      <w:r w:rsidRPr="00FE6925">
        <w:rPr>
          <w:sz w:val="30"/>
          <w:szCs w:val="30"/>
        </w:rPr>
        <w:t>статьи 6</w:t>
      </w:r>
      <w:r>
        <w:rPr>
          <w:rStyle w:val="blk"/>
          <w:color w:val="000000"/>
          <w:sz w:val="30"/>
          <w:szCs w:val="30"/>
        </w:rPr>
        <w:t> Бюджетного кодекса обусловленные договором (государственным (муниципальным) контрактом) расходные обязательства являются обязанностью публично-правового образования или действующего от его имени казенного учреждения, органов государственной власти (государственных органов), органов местного самоуправления (муниципальных органов) предоставить физическому или юридическому лицу средства из соответствующего бюджета бюджетной системы Российской Федерации.</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Таким образом, государственный (муниципальный) контракт хотя и является формой двусторонней сделки, но права и обязанности получателей бюджетных средств при оплате такого договора регулируются бюджетным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Оплата государственного (муниципального) контракта является исполнением бюджета по расходам, и нормами Бюджетного </w:t>
      </w:r>
      <w:r w:rsidRPr="00FE6925">
        <w:rPr>
          <w:sz w:val="30"/>
          <w:szCs w:val="30"/>
        </w:rPr>
        <w:t>кодекса</w:t>
      </w:r>
      <w:r>
        <w:rPr>
          <w:rStyle w:val="blk"/>
          <w:color w:val="000000"/>
          <w:sz w:val="30"/>
          <w:szCs w:val="30"/>
        </w:rPr>
        <w:t> уступка требования (цессия) и финансирование под уступку денежного требования по оплате денежного обязательства, возникающего из государственного (муниципального) контракта, не предусмотрены.</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lastRenderedPageBreak/>
        <w:t>В соответствии с </w:t>
      </w:r>
      <w:r w:rsidRPr="00FE6925">
        <w:rPr>
          <w:sz w:val="30"/>
          <w:szCs w:val="30"/>
        </w:rPr>
        <w:t>пунктом 1 статьи 219</w:t>
      </w:r>
      <w:r>
        <w:rPr>
          <w:rStyle w:val="blk"/>
          <w:color w:val="000000"/>
          <w:sz w:val="30"/>
          <w:szCs w:val="30"/>
        </w:rPr>
        <w:t> Бюджетного кодекса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Бюджетного кодекса.</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Положениями </w:t>
      </w:r>
      <w:r w:rsidRPr="00FE6925">
        <w:rPr>
          <w:sz w:val="30"/>
          <w:szCs w:val="30"/>
        </w:rPr>
        <w:t>пункта 2 статьи 219</w:t>
      </w:r>
      <w:r>
        <w:rPr>
          <w:rStyle w:val="blk"/>
          <w:color w:val="000000"/>
          <w:sz w:val="30"/>
          <w:szCs w:val="30"/>
        </w:rPr>
        <w:t> Бюджетного кодекса исполнение бюджетов по расходам предусматривает: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 Обязательства, не принятые к учету в соответствии с нормами бюджетного законодательства Российской Федерации, не подлежат оплате (</w:t>
      </w:r>
      <w:r w:rsidRPr="00FE6925">
        <w:rPr>
          <w:sz w:val="30"/>
          <w:szCs w:val="30"/>
        </w:rPr>
        <w:t>статья 219</w:t>
      </w:r>
      <w:r>
        <w:rPr>
          <w:rStyle w:val="blk"/>
          <w:color w:val="000000"/>
          <w:sz w:val="30"/>
          <w:szCs w:val="30"/>
        </w:rPr>
        <w:t> Бюджетного кодекса).</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 xml:space="preserve">Для постановки на учет бюджетных и денежных обязательств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осуществляют в соответствии с установленным порядком контроль за </w:t>
      </w:r>
      <w:proofErr w:type="spellStart"/>
      <w:r>
        <w:rPr>
          <w:rStyle w:val="blk"/>
          <w:color w:val="000000"/>
          <w:sz w:val="30"/>
          <w:szCs w:val="30"/>
        </w:rPr>
        <w:t>непревышением</w:t>
      </w:r>
      <w:proofErr w:type="spellEnd"/>
      <w:r>
        <w:rPr>
          <w:rStyle w:val="blk"/>
          <w:color w:val="000000"/>
          <w:sz w:val="30"/>
          <w:szCs w:val="30"/>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и соответствием сведений о государственном (муниципальном) контракте в реестре контрактов (</w:t>
      </w:r>
      <w:r w:rsidRPr="00FE6925">
        <w:rPr>
          <w:sz w:val="30"/>
          <w:szCs w:val="30"/>
        </w:rPr>
        <w:t>пункт 5 статьи 219</w:t>
      </w:r>
      <w:r>
        <w:rPr>
          <w:rStyle w:val="blk"/>
          <w:color w:val="000000"/>
          <w:sz w:val="30"/>
          <w:szCs w:val="30"/>
        </w:rPr>
        <w:t> Бюджетного кодекса).</w:t>
      </w:r>
    </w:p>
    <w:p w:rsidR="00D35D46" w:rsidRDefault="00FE6925" w:rsidP="00D35D46">
      <w:pPr>
        <w:shd w:val="clear" w:color="auto" w:fill="F4F3F8"/>
        <w:spacing w:line="240" w:lineRule="auto"/>
        <w:rPr>
          <w:color w:val="392C69"/>
          <w:sz w:val="28"/>
          <w:szCs w:val="28"/>
        </w:rPr>
      </w:pPr>
      <w:r>
        <w:rPr>
          <w:rStyle w:val="blk"/>
          <w:color w:val="392C69"/>
          <w:sz w:val="28"/>
          <w:szCs w:val="28"/>
        </w:rPr>
        <w:t>П</w:t>
      </w:r>
      <w:r w:rsidR="00D35D46">
        <w:rPr>
          <w:rStyle w:val="blk"/>
          <w:color w:val="392C69"/>
          <w:sz w:val="28"/>
          <w:szCs w:val="28"/>
        </w:rPr>
        <w:t>римечание.</w:t>
      </w:r>
    </w:p>
    <w:p w:rsidR="00D35D46" w:rsidRDefault="00D35D46" w:rsidP="00D35D46">
      <w:pPr>
        <w:shd w:val="clear" w:color="auto" w:fill="F4F3F8"/>
        <w:rPr>
          <w:color w:val="392C69"/>
          <w:sz w:val="28"/>
          <w:szCs w:val="28"/>
        </w:rPr>
      </w:pPr>
      <w:r>
        <w:rPr>
          <w:rStyle w:val="blk"/>
          <w:color w:val="392C69"/>
          <w:sz w:val="28"/>
          <w:szCs w:val="28"/>
        </w:rPr>
        <w:t>В тексте документа, видимо, допущена опечатка: имеется в виду </w:t>
      </w:r>
      <w:r w:rsidRPr="00FE6925">
        <w:rPr>
          <w:sz w:val="28"/>
          <w:szCs w:val="28"/>
        </w:rPr>
        <w:t>абзац пятый пункта 5 статьи 219</w:t>
      </w:r>
      <w:r>
        <w:rPr>
          <w:rStyle w:val="blk"/>
          <w:color w:val="392C69"/>
          <w:sz w:val="28"/>
          <w:szCs w:val="28"/>
        </w:rPr>
        <w:t> БК РФ, а не абзац четвертый.</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При этом оплата осуществляется при постановке на учет денежного обязательства, информация о котором должна соответствовать поставленному на учет соответствующему бюджетному обязательству (</w:t>
      </w:r>
      <w:r w:rsidRPr="00FE6925">
        <w:rPr>
          <w:sz w:val="30"/>
          <w:szCs w:val="30"/>
        </w:rPr>
        <w:t>абзац четвертый пункта 5 статьи 219</w:t>
      </w:r>
      <w:r>
        <w:rPr>
          <w:rStyle w:val="blk"/>
          <w:color w:val="000000"/>
          <w:sz w:val="30"/>
          <w:szCs w:val="30"/>
        </w:rPr>
        <w:t> Бюджетного кодекса).</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Сформированная система учета и исполнения бюджетных обязательств соответствует принципу адресности и целевого использования бюджетных средств, определенному </w:t>
      </w:r>
      <w:r w:rsidRPr="00FE6925">
        <w:rPr>
          <w:sz w:val="30"/>
          <w:szCs w:val="30"/>
        </w:rPr>
        <w:t>статьей 38</w:t>
      </w:r>
      <w:r>
        <w:rPr>
          <w:rStyle w:val="blk"/>
          <w:color w:val="000000"/>
          <w:sz w:val="30"/>
          <w:szCs w:val="30"/>
        </w:rPr>
        <w:t xml:space="preserve"> Бюджетного кодекса, и именно в этой связи накладывает на получателей средств из бюджета (в том числе исполнителей государственных (муниципальных) контрактов) законодательно определенные обязанности, как, например, обязательность включения в реестр участников бюджетного процесса, а также юридических лиц, не </w:t>
      </w:r>
      <w:r>
        <w:rPr>
          <w:rStyle w:val="blk"/>
          <w:color w:val="000000"/>
          <w:sz w:val="30"/>
          <w:szCs w:val="30"/>
        </w:rPr>
        <w:lastRenderedPageBreak/>
        <w:t>являющихся участниками бюджетного процесса, открытия лицевых счетов в Федеральном казначействе. При этом Федеральное казначейство осуществляет контроль операций на указанных счетах.</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Правоотношения, основанные на договоре факторинга, в соответствии с </w:t>
      </w:r>
      <w:r w:rsidRPr="00FE6925">
        <w:rPr>
          <w:sz w:val="30"/>
          <w:szCs w:val="30"/>
        </w:rPr>
        <w:t>пунктом 1 ста</w:t>
      </w:r>
      <w:bookmarkStart w:id="0" w:name="_GoBack"/>
      <w:bookmarkEnd w:id="0"/>
      <w:r w:rsidRPr="00FE6925">
        <w:rPr>
          <w:sz w:val="30"/>
          <w:szCs w:val="30"/>
        </w:rPr>
        <w:t>тьи 824</w:t>
      </w:r>
      <w:r>
        <w:rPr>
          <w:rStyle w:val="blk"/>
          <w:color w:val="000000"/>
          <w:sz w:val="30"/>
          <w:szCs w:val="30"/>
        </w:rPr>
        <w:t> Гражданского кодекса Российской Федерации предполагают, что финансовый агент (фактор) обязуется совершить не менее двух из перечисленных в указанной </w:t>
      </w:r>
      <w:r w:rsidRPr="00D35D46">
        <w:rPr>
          <w:sz w:val="30"/>
          <w:szCs w:val="30"/>
        </w:rPr>
        <w:t>статье</w:t>
      </w:r>
      <w:r>
        <w:rPr>
          <w:rStyle w:val="blk"/>
          <w:color w:val="000000"/>
          <w:sz w:val="30"/>
          <w:szCs w:val="30"/>
        </w:rPr>
        <w:t> действий, связанных с денежными требованиями, являющимися предметом уступки.</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 xml:space="preserve">Сложившиеся на рынке модели факторинга предполагают сопровождение финансовым агентом крупных </w:t>
      </w:r>
      <w:proofErr w:type="spellStart"/>
      <w:r>
        <w:rPr>
          <w:rStyle w:val="blk"/>
          <w:color w:val="000000"/>
          <w:sz w:val="30"/>
          <w:szCs w:val="30"/>
        </w:rPr>
        <w:t>ритейлерских</w:t>
      </w:r>
      <w:proofErr w:type="spellEnd"/>
      <w:r>
        <w:rPr>
          <w:rStyle w:val="blk"/>
          <w:color w:val="000000"/>
          <w:sz w:val="30"/>
          <w:szCs w:val="30"/>
        </w:rPr>
        <w:t xml:space="preserve"> сетей, иных экономических агентов, имеющих широкие сети поставщиков (исполнителей). В указанных случаях экономический агент передает фактору полномочия по учету обязательств контрагентов, своевременному расчету с указанными контрагентами.</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Для публично-правового образования указанный функционал выполняют Федеральное казначейство и финансовые органы субъектов Российской Федерации (муниципальных образований). При этом полномочия Федерального казначейства в отношении сопровождения средств в рамках государственных контрактов включают не только учет поставщиков (подрядчиков, исполнителей), но и его соисполнителей.</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Начиная с 2015 года федеральным законом о федеральном бюджете предусматриваются положения о казначейском сопровождении средств в рамках исполнения государственных контрактов, позволяющие определить фактическую себестоимость закупаемых по государственным контрактам товаров, работ, услуг через раскрытие и контроль структуры цены контракта (</w:t>
      </w:r>
      <w:r w:rsidRPr="00D35D46">
        <w:rPr>
          <w:sz w:val="30"/>
          <w:szCs w:val="30"/>
        </w:rPr>
        <w:t>абзац четвертый части 1 статьи 5</w:t>
      </w:r>
      <w:r>
        <w:rPr>
          <w:rStyle w:val="blk"/>
          <w:color w:val="000000"/>
          <w:sz w:val="30"/>
          <w:szCs w:val="30"/>
        </w:rPr>
        <w:t> Федерального закона от 2 декабря 2019 года № 380-ФЗ "О федеральном бюджете на 2020 год и на плановый период 2021 и 2022 годов" (далее - Федеральный закон № 380-ФЗ)).</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В этой связи для государственного контракта бюджетное законодательство Российской Федерации устанавливает обязательные для сторон правила, отличающие условия государственных контрактов от аналогичных договоров (например, по открытию поставщиком (подрядчиком, исполнителем) и его соисполнителями лицевого счета в органах Федерального казначейства (</w:t>
      </w:r>
      <w:r w:rsidRPr="00D35D46">
        <w:rPr>
          <w:sz w:val="30"/>
          <w:szCs w:val="30"/>
        </w:rPr>
        <w:t>часть 1 статьи 5</w:t>
      </w:r>
      <w:r>
        <w:rPr>
          <w:rStyle w:val="blk"/>
          <w:color w:val="000000"/>
          <w:sz w:val="30"/>
          <w:szCs w:val="30"/>
        </w:rPr>
        <w:t> Федерального закона № 380-ФЗ)).</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lastRenderedPageBreak/>
        <w:t>Контроль за использованием предоставленных из бюджета средств направлен на своевременное предотвращение бюджетных рисков публично-правовых образований, связанных с неисполнением или ненадлежащим исполнением государственного контракта на любом его этапе (</w:t>
      </w:r>
      <w:r w:rsidRPr="00D35D46">
        <w:rPr>
          <w:sz w:val="30"/>
          <w:szCs w:val="30"/>
        </w:rPr>
        <w:t>Правила</w:t>
      </w:r>
      <w:r>
        <w:rPr>
          <w:rStyle w:val="blk"/>
          <w:color w:val="000000"/>
          <w:sz w:val="30"/>
          <w:szCs w:val="30"/>
        </w:rPr>
        <w:t> казначейского сопровождения средств государственного оборонного заказа в валюте Российской Федерации в случаях, предусмотренных Федеральным законом "О федеральном бюджете на 2020 год и на плановый период 2021 и 2022 годов", утвержденные постановлением Правительства Российской Федерации от 25 декабря 2019 года № 1819).</w:t>
      </w:r>
    </w:p>
    <w:p w:rsidR="00D35D46" w:rsidRDefault="00D35D46" w:rsidP="00D35D46">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предложения по возможности использования финансирования под уступку денежного требования по оплате обязательств, возникающих на основании государственных (муниципальных) контрактов, не могут быть поддержаны.</w:t>
      </w:r>
    </w:p>
    <w:p w:rsidR="00D35D46" w:rsidRDefault="00D35D46" w:rsidP="00D35D46">
      <w:pPr>
        <w:shd w:val="clear" w:color="auto" w:fill="FFFFFF"/>
        <w:spacing w:line="288" w:lineRule="atLeast"/>
        <w:rPr>
          <w:color w:val="000000"/>
          <w:sz w:val="30"/>
          <w:szCs w:val="30"/>
        </w:rPr>
      </w:pPr>
      <w:r>
        <w:rPr>
          <w:rStyle w:val="nobr"/>
          <w:color w:val="000000"/>
          <w:sz w:val="30"/>
          <w:szCs w:val="30"/>
        </w:rPr>
        <w:t> </w:t>
      </w:r>
    </w:p>
    <w:p w:rsidR="00D35D46" w:rsidRDefault="00D35D46" w:rsidP="00D35D46">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D35D46" w:rsidRDefault="00D35D46" w:rsidP="00D35D46">
      <w:pPr>
        <w:shd w:val="clear" w:color="auto" w:fill="FFFFFF"/>
        <w:spacing w:line="288" w:lineRule="atLeast"/>
        <w:jc w:val="right"/>
        <w:rPr>
          <w:color w:val="000000"/>
          <w:sz w:val="30"/>
          <w:szCs w:val="30"/>
        </w:rPr>
      </w:pPr>
      <w:r>
        <w:rPr>
          <w:rStyle w:val="blk"/>
          <w:color w:val="000000"/>
          <w:sz w:val="30"/>
          <w:szCs w:val="30"/>
        </w:rPr>
        <w:t>Д.А.ГОТОВЦЕВ</w:t>
      </w:r>
    </w:p>
    <w:p w:rsidR="00D35D46" w:rsidRDefault="00D35D46" w:rsidP="00D35D46">
      <w:pPr>
        <w:shd w:val="clear" w:color="auto" w:fill="FFFFFF"/>
        <w:spacing w:line="288" w:lineRule="atLeast"/>
        <w:rPr>
          <w:color w:val="000000"/>
          <w:sz w:val="30"/>
          <w:szCs w:val="30"/>
        </w:rPr>
      </w:pPr>
      <w:r>
        <w:rPr>
          <w:rStyle w:val="blk"/>
          <w:color w:val="000000"/>
          <w:sz w:val="30"/>
          <w:szCs w:val="30"/>
        </w:rPr>
        <w:t>20.05.2020</w:t>
      </w:r>
    </w:p>
    <w:p w:rsidR="00D35D46" w:rsidRDefault="00D35D46" w:rsidP="00D35D46">
      <w:pPr>
        <w:shd w:val="clear" w:color="auto" w:fill="FFFFFF"/>
        <w:spacing w:line="288" w:lineRule="atLeast"/>
        <w:rPr>
          <w:color w:val="000000"/>
          <w:sz w:val="30"/>
          <w:szCs w:val="30"/>
        </w:rPr>
      </w:pPr>
      <w:r>
        <w:rPr>
          <w:rStyle w:val="nobr"/>
          <w:color w:val="000000"/>
          <w:sz w:val="30"/>
          <w:szCs w:val="30"/>
        </w:rPr>
        <w:t> </w:t>
      </w:r>
    </w:p>
    <w:p w:rsidR="0030571B" w:rsidRDefault="00FE6925"/>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46"/>
    <w:rsid w:val="00197FEE"/>
    <w:rsid w:val="003C7824"/>
    <w:rsid w:val="00D35D46"/>
    <w:rsid w:val="00FE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5C6A"/>
  <w15:chartTrackingRefBased/>
  <w15:docId w15:val="{5A0758F2-5BA4-4AF5-83BD-D3429E37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D46"/>
    <w:rPr>
      <w:color w:val="0000FF"/>
      <w:u w:val="single"/>
    </w:rPr>
  </w:style>
  <w:style w:type="character" w:customStyle="1" w:styleId="blk">
    <w:name w:val="blk"/>
    <w:basedOn w:val="a0"/>
    <w:rsid w:val="00D35D46"/>
  </w:style>
  <w:style w:type="character" w:customStyle="1" w:styleId="nobr">
    <w:name w:val="nobr"/>
    <w:basedOn w:val="a0"/>
    <w:rsid w:val="00D3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2021-06-03T06:35:00Z</dcterms:created>
  <dcterms:modified xsi:type="dcterms:W3CDTF">2021-06-03T07:02:00Z</dcterms:modified>
</cp:coreProperties>
</file>