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CF" w:rsidRDefault="00465BCF" w:rsidP="00465BCF">
      <w:pPr>
        <w:shd w:val="clear" w:color="auto" w:fill="FFFFFF"/>
        <w:spacing w:line="450" w:lineRule="atLeast"/>
        <w:jc w:val="center"/>
        <w:rPr>
          <w:color w:val="000000"/>
          <w:sz w:val="30"/>
          <w:szCs w:val="30"/>
        </w:rPr>
      </w:pPr>
    </w:p>
    <w:p w:rsidR="00465BCF" w:rsidRDefault="00465BCF" w:rsidP="00465BCF">
      <w:pPr>
        <w:shd w:val="clear" w:color="auto" w:fill="FFFFFF"/>
        <w:spacing w:line="288" w:lineRule="atLeast"/>
        <w:rPr>
          <w:rStyle w:val="blk"/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65BCF" w:rsidRDefault="00465BCF" w:rsidP="00465B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465BCF" w:rsidRDefault="00465BCF" w:rsidP="00465B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465BCF" w:rsidRDefault="0036651D" w:rsidP="00465B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ПИСЬМА</w:t>
      </w:r>
      <w:bookmarkStart w:id="0" w:name="_GoBack"/>
      <w:bookmarkEnd w:id="0"/>
    </w:p>
    <w:p w:rsidR="00465BCF" w:rsidRDefault="00465BCF" w:rsidP="00465BC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20 мая 2020 г. № 24-01-08/41410, от 14 мая 2020 г. № 24-01-08/39173</w:t>
      </w:r>
    </w:p>
    <w:p w:rsidR="00465BCF" w:rsidRDefault="00465BCF" w:rsidP="00465BCF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необходимости предоставления информации о графиках подготовки конкурсов государственных заказов в рамках национальных проектов, сообщает следующее.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146A3">
        <w:rPr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146A3">
        <w:rPr>
          <w:sz w:val="30"/>
          <w:szCs w:val="30"/>
        </w:rPr>
        <w:t>пункту 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отметить следующее.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 рамках реализации национальных проектов утверждается паспорт национального проекта, который включает в себя наименование </w:t>
      </w:r>
      <w:r>
        <w:rPr>
          <w:rStyle w:val="blk"/>
          <w:color w:val="000000"/>
          <w:sz w:val="30"/>
          <w:szCs w:val="30"/>
        </w:rPr>
        <w:lastRenderedPageBreak/>
        <w:t>национального проекта, его цели, целевые и дополнительные показатели, перечень методик расчета целевых и дополнительных показателей, задачи и результаты с указанием значений результатов по годам реализации, перечень и общие сведения о федеральных проектах, обеспечивающих достижение целей, целевых и дополнительных показателей, выполнение задач национального проекта, сроки реализации и объем финансового обеспечения национального проекта, информацию о кураторе, руководителе и администраторе национального проекта, а также иные сведения.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Указанная информация, а также иные информационные материалы о реализации национальных проектов (программ), комплексного плана модернизации и расширения магистральной инфраструктуры размещены на Информационном Портале "Будущее России. Национальные проекты" (</w:t>
      </w:r>
      <w:r w:rsidRPr="00B146A3">
        <w:rPr>
          <w:sz w:val="30"/>
          <w:szCs w:val="30"/>
        </w:rPr>
        <w:t>https://futurerussia.gov.ru</w:t>
      </w:r>
      <w:r>
        <w:rPr>
          <w:rStyle w:val="blk"/>
          <w:color w:val="000000"/>
          <w:sz w:val="30"/>
          <w:szCs w:val="30"/>
        </w:rPr>
        <w:t>).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Закупки товаров, работ, услуг для обеспечения государственных и муниципальных нужд, в том числе в рамках реализации национальных проектов, осуществляются в соответствии с положениями Федерального </w:t>
      </w:r>
      <w:r w:rsidRPr="00B146A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146A3">
        <w:rPr>
          <w:sz w:val="30"/>
          <w:szCs w:val="30"/>
        </w:rPr>
        <w:t>частью 1 статьи 4</w:t>
      </w:r>
      <w:r>
        <w:rPr>
          <w:rStyle w:val="blk"/>
          <w:color w:val="000000"/>
          <w:sz w:val="30"/>
          <w:szCs w:val="30"/>
        </w:rPr>
        <w:t> Закона № 44-ФЗ в целях информационного обеспечения контрактной системы в сфере закупок ведется единая информационная система в сфере закупок (далее - ЕИС), которая содержит в том числе информацию о закупках, осуществляемых в соответствии с </w:t>
      </w:r>
      <w:r w:rsidRPr="00B146A3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Информация о проводимых закупках находится в открытом доступе на официальном сайте ЕИС </w:t>
      </w:r>
      <w:r w:rsidRPr="00B146A3">
        <w:rPr>
          <w:sz w:val="30"/>
          <w:szCs w:val="30"/>
        </w:rPr>
        <w:t>www.zakupki.gov.ru</w:t>
      </w:r>
      <w:r>
        <w:rPr>
          <w:rStyle w:val="blk"/>
          <w:color w:val="000000"/>
          <w:sz w:val="30"/>
          <w:szCs w:val="30"/>
        </w:rPr>
        <w:t>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 </w:t>
      </w:r>
      <w:r w:rsidRPr="00B146A3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44-ФЗ, информации об исполнении контрактов, результатах мониторинга закупок, аудита и контроля в сфере закупок.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соответствии с </w:t>
      </w:r>
      <w:r w:rsidRPr="00B146A3">
        <w:rPr>
          <w:sz w:val="30"/>
          <w:szCs w:val="30"/>
        </w:rPr>
        <w:t>частью 7 статьи 4</w:t>
      </w:r>
      <w:r>
        <w:rPr>
          <w:rStyle w:val="blk"/>
          <w:color w:val="000000"/>
          <w:sz w:val="30"/>
          <w:szCs w:val="30"/>
        </w:rPr>
        <w:t> Закона №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Таким образом, информация о закупках, осуществляемых в соответствии с требованиями </w:t>
      </w:r>
      <w:r w:rsidRPr="00B146A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44-ФЗ, в том числе в рамках национальных проектов, размещается на официальном сайте ЕИС </w:t>
      </w:r>
      <w:r w:rsidRPr="00B146A3">
        <w:rPr>
          <w:sz w:val="30"/>
          <w:szCs w:val="30"/>
        </w:rPr>
        <w:t>www.zakupki.gov.ru</w:t>
      </w:r>
      <w:r>
        <w:rPr>
          <w:rStyle w:val="blk"/>
          <w:color w:val="000000"/>
          <w:sz w:val="30"/>
          <w:szCs w:val="30"/>
        </w:rPr>
        <w:t>.</w:t>
      </w:r>
    </w:p>
    <w:p w:rsidR="00465BCF" w:rsidRDefault="00465BCF" w:rsidP="00465BC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отмечаем, что в соответствии с </w:t>
      </w:r>
      <w:r w:rsidRPr="00B146A3">
        <w:rPr>
          <w:sz w:val="30"/>
          <w:szCs w:val="30"/>
        </w:rPr>
        <w:t>пунктами 1</w:t>
      </w:r>
      <w:r>
        <w:rPr>
          <w:rStyle w:val="blk"/>
          <w:color w:val="000000"/>
          <w:sz w:val="30"/>
          <w:szCs w:val="30"/>
        </w:rPr>
        <w:t>, </w:t>
      </w:r>
      <w:hyperlink r:id="rId4" w:history="1">
        <w:r>
          <w:rPr>
            <w:rStyle w:val="a3"/>
            <w:color w:val="1A0DAB"/>
            <w:sz w:val="30"/>
            <w:szCs w:val="30"/>
          </w:rPr>
          <w:t>3</w:t>
        </w:r>
      </w:hyperlink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13.04.2017 № 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30.09.2014 № 996" уполномоченным федеральным органом исполнительной власти, осуществляющим функции по созданию, развитию, ведению и обслуживанию ЕИС, а также в части поддержки пользователей ЕИС, определено Федеральное казначейство.</w:t>
      </w:r>
    </w:p>
    <w:p w:rsidR="00465BCF" w:rsidRDefault="00465BCF" w:rsidP="00465BCF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465BCF" w:rsidRDefault="00465BCF" w:rsidP="00465BC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465BCF" w:rsidRDefault="00465BCF" w:rsidP="00465BC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A103B7" w:rsidRDefault="00A103B7"/>
    <w:sectPr w:rsidR="00A1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CF"/>
    <w:rsid w:val="0036651D"/>
    <w:rsid w:val="00465BCF"/>
    <w:rsid w:val="006F44DC"/>
    <w:rsid w:val="00A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A18C"/>
  <w15:chartTrackingRefBased/>
  <w15:docId w15:val="{2190429C-B1F0-4DA1-A396-DB8844DC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BCF"/>
    <w:rPr>
      <w:color w:val="0000FF"/>
      <w:u w:val="single"/>
    </w:rPr>
  </w:style>
  <w:style w:type="character" w:customStyle="1" w:styleId="blk">
    <w:name w:val="blk"/>
    <w:basedOn w:val="a0"/>
    <w:rsid w:val="00465BCF"/>
  </w:style>
  <w:style w:type="character" w:customStyle="1" w:styleId="nobr">
    <w:name w:val="nobr"/>
    <w:basedOn w:val="a0"/>
    <w:rsid w:val="0046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nd=226A1E8CF498FC46C5A087054140D300&amp;req=doc&amp;base=LAW&amp;n=301777&amp;dst=100010&amp;fld=134&amp;REFFIELD=134&amp;REFDST=100016&amp;REFDOC=195811&amp;REFBASE=QUEST&amp;stat=refcode%3D10881%3Bdstident%3D100010%3Bindex%3D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2021-06-04T10:28:00Z</dcterms:created>
  <dcterms:modified xsi:type="dcterms:W3CDTF">2021-06-04T10:34:00Z</dcterms:modified>
</cp:coreProperties>
</file>