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75" w:rsidRPr="00C96A75" w:rsidRDefault="00C96A75" w:rsidP="00C96A75">
      <w:pPr>
        <w:jc w:val="center"/>
        <w:rPr>
          <w:rFonts w:ascii="Verdana" w:hAnsi="Verdana"/>
          <w:b/>
          <w:bCs/>
          <w:sz w:val="21"/>
          <w:szCs w:val="21"/>
        </w:rPr>
      </w:pPr>
      <w:bookmarkStart w:id="0" w:name="_GoBack"/>
      <w:r w:rsidRPr="00C96A75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96A75" w:rsidRPr="00C96A75" w:rsidRDefault="00C96A75" w:rsidP="00C96A75">
      <w:pPr>
        <w:jc w:val="center"/>
        <w:rPr>
          <w:rFonts w:ascii="Verdana" w:hAnsi="Verdana"/>
          <w:b/>
          <w:bCs/>
          <w:sz w:val="21"/>
          <w:szCs w:val="21"/>
        </w:rPr>
      </w:pPr>
      <w:r w:rsidRPr="00C96A75">
        <w:rPr>
          <w:rFonts w:ascii="Arial" w:hAnsi="Arial" w:cs="Arial"/>
          <w:b/>
          <w:bCs/>
        </w:rPr>
        <w:t> </w:t>
      </w:r>
    </w:p>
    <w:p w:rsidR="00C96A75" w:rsidRPr="00C96A75" w:rsidRDefault="00C96A75" w:rsidP="00C96A75">
      <w:pPr>
        <w:jc w:val="center"/>
        <w:rPr>
          <w:rFonts w:ascii="Verdana" w:hAnsi="Verdana"/>
          <w:b/>
          <w:bCs/>
          <w:sz w:val="21"/>
          <w:szCs w:val="21"/>
        </w:rPr>
      </w:pPr>
      <w:r w:rsidRPr="00C96A75">
        <w:rPr>
          <w:rFonts w:ascii="Arial" w:hAnsi="Arial" w:cs="Arial"/>
          <w:b/>
          <w:bCs/>
        </w:rPr>
        <w:t>ПИСЬМО</w:t>
      </w:r>
    </w:p>
    <w:p w:rsidR="00C96A75" w:rsidRPr="00C96A75" w:rsidRDefault="00C96A75" w:rsidP="00C96A75">
      <w:pPr>
        <w:jc w:val="center"/>
        <w:rPr>
          <w:rFonts w:ascii="Verdana" w:hAnsi="Verdana"/>
          <w:b/>
          <w:bCs/>
          <w:sz w:val="21"/>
          <w:szCs w:val="21"/>
        </w:rPr>
      </w:pPr>
      <w:r w:rsidRPr="00C96A75">
        <w:rPr>
          <w:rFonts w:ascii="Arial" w:hAnsi="Arial" w:cs="Arial"/>
          <w:b/>
          <w:bCs/>
        </w:rPr>
        <w:t>от 11 марта 2020 г. № 24-01-06/18462</w:t>
      </w:r>
    </w:p>
    <w:p w:rsidR="00C96A75" w:rsidRPr="00C96A75" w:rsidRDefault="00C96A75" w:rsidP="00C96A75">
      <w:pPr>
        <w:rPr>
          <w:rFonts w:ascii="Verdana" w:hAnsi="Verdana"/>
          <w:sz w:val="21"/>
          <w:szCs w:val="21"/>
        </w:rPr>
      </w:pPr>
      <w:r w:rsidRPr="00C96A75">
        <w:t> </w:t>
      </w:r>
    </w:p>
    <w:p w:rsidR="00C96A75" w:rsidRPr="00C96A75" w:rsidRDefault="00C96A75" w:rsidP="00C96A75">
      <w:pPr>
        <w:ind w:firstLine="540"/>
        <w:jc w:val="both"/>
        <w:rPr>
          <w:rFonts w:ascii="Verdana" w:hAnsi="Verdana"/>
          <w:sz w:val="21"/>
          <w:szCs w:val="21"/>
        </w:rPr>
      </w:pPr>
      <w:r w:rsidRPr="00C96A75">
        <w:t>Департамент бюджетной политики в сфере контрактной системы Минфина России (далее - Департамент), рассмотрев обращение от 11.02.2020 по вопросу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определения начальной (максимальной) цены контракта нормативным методом, сообщает следующее.</w:t>
      </w:r>
    </w:p>
    <w:p w:rsidR="00C96A75" w:rsidRPr="00C96A75" w:rsidRDefault="00C96A75" w:rsidP="00C96A75">
      <w:pPr>
        <w:ind w:firstLine="540"/>
        <w:jc w:val="both"/>
        <w:rPr>
          <w:rFonts w:ascii="Verdana" w:hAnsi="Verdana"/>
          <w:sz w:val="21"/>
          <w:szCs w:val="21"/>
        </w:rPr>
      </w:pPr>
      <w:r w:rsidRPr="00C96A75"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96A75" w:rsidRPr="00C96A75" w:rsidRDefault="00C96A75" w:rsidP="00C96A75">
      <w:pPr>
        <w:ind w:firstLine="540"/>
        <w:jc w:val="both"/>
        <w:rPr>
          <w:rFonts w:ascii="Verdana" w:hAnsi="Verdana"/>
          <w:sz w:val="21"/>
          <w:szCs w:val="21"/>
        </w:rPr>
      </w:pPr>
      <w:r w:rsidRPr="00C96A75">
        <w:t>Вместе с тем Департамент в рамках установленной компетенции считает возможным сообщить следующее.</w:t>
      </w:r>
    </w:p>
    <w:p w:rsidR="00C96A75" w:rsidRPr="00C96A75" w:rsidRDefault="00C96A75" w:rsidP="00C96A75">
      <w:pPr>
        <w:ind w:firstLine="540"/>
        <w:jc w:val="both"/>
        <w:rPr>
          <w:rFonts w:ascii="Verdana" w:hAnsi="Verdana"/>
          <w:sz w:val="21"/>
          <w:szCs w:val="21"/>
        </w:rPr>
      </w:pPr>
      <w:r w:rsidRPr="00C96A75">
        <w:t>Начальная (максимальная) цена контракта и в предусмотренных Законом № 44-ФЗ случаях цена контракта, заключаемого с единственным поставщиком (подрядчиком, исполнителем) (далее - НМЦК), определяются в соответствии с положениями статьи 22 Закона № 44-ФЗ.</w:t>
      </w:r>
    </w:p>
    <w:p w:rsidR="00C96A75" w:rsidRPr="00C96A75" w:rsidRDefault="00C96A75" w:rsidP="00C96A75">
      <w:pPr>
        <w:ind w:firstLine="540"/>
        <w:jc w:val="both"/>
        <w:rPr>
          <w:rFonts w:ascii="Verdana" w:hAnsi="Verdana"/>
          <w:sz w:val="21"/>
          <w:szCs w:val="21"/>
        </w:rPr>
      </w:pPr>
      <w:r w:rsidRPr="00C96A75">
        <w:t>В соответствии с частью 6 статьи 22 Закона №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статьи.</w:t>
      </w:r>
    </w:p>
    <w:p w:rsidR="00C96A75" w:rsidRPr="00C96A75" w:rsidRDefault="00C96A75" w:rsidP="00C96A75">
      <w:pPr>
        <w:ind w:firstLine="540"/>
        <w:jc w:val="both"/>
        <w:rPr>
          <w:rFonts w:ascii="Verdana" w:hAnsi="Verdana"/>
          <w:sz w:val="21"/>
          <w:szCs w:val="21"/>
        </w:rPr>
      </w:pPr>
      <w:r w:rsidRPr="00C96A75">
        <w:t>Так, положениями части 7 статьи 22 Закона № 44-ФЗ предусмотрен нормативный метод, который заключается в расчете НМЦК на основе требований к закупаемым товарам, работам, услугам, установленных в соответствии со статьей 19 Закона № 44-ФЗ, в случае если такие требования предусматривают установление предельных цен товаров, работ, услуг.</w:t>
      </w:r>
    </w:p>
    <w:p w:rsidR="00C96A75" w:rsidRPr="00C96A75" w:rsidRDefault="00C96A75" w:rsidP="00C96A75">
      <w:pPr>
        <w:ind w:firstLine="540"/>
        <w:jc w:val="both"/>
        <w:rPr>
          <w:rFonts w:ascii="Verdana" w:hAnsi="Verdana"/>
          <w:sz w:val="21"/>
          <w:szCs w:val="21"/>
        </w:rPr>
      </w:pPr>
      <w:r w:rsidRPr="00C96A75">
        <w:t>При этом полагаем необходимым отметить, что механизм нормирования товаров, работ, услуг, предполагающий установление в том числе предельных цен товаров, работ, услуг, позволяет обеспечивать государственные и муниципальные нужды и не допускает осуществление закупок товаров, работ, услуг, которые имеют избыточные потребительские свойства, характеристики или являются предметами роскоши в соответствии с законодательством Российской Федерации.</w:t>
      </w:r>
    </w:p>
    <w:p w:rsidR="00C96A75" w:rsidRPr="00C96A75" w:rsidRDefault="00C96A75" w:rsidP="00C96A75">
      <w:pPr>
        <w:ind w:firstLine="540"/>
        <w:jc w:val="both"/>
        <w:rPr>
          <w:rFonts w:ascii="Verdana" w:hAnsi="Verdana"/>
          <w:sz w:val="21"/>
          <w:szCs w:val="21"/>
        </w:rPr>
      </w:pPr>
      <w:r w:rsidRPr="00C96A75">
        <w:t>Учитывая изложенное, в целях недопущения закупки по завышенным ценам Департамент рекомендует при осуществлении закупки товаров, работ, услуг, для которых в соответствии со статьей 19 Закона № 44-ФЗ установлены предельные цены, осуществить расчет НМЦК методом сопоставимых рыночных цен (анализа рынка) и нормативным методом.</w:t>
      </w:r>
    </w:p>
    <w:p w:rsidR="00C96A75" w:rsidRPr="00C96A75" w:rsidRDefault="00C96A75" w:rsidP="00C96A75">
      <w:pPr>
        <w:ind w:firstLine="540"/>
        <w:jc w:val="both"/>
        <w:rPr>
          <w:rFonts w:ascii="Verdana" w:hAnsi="Verdana"/>
          <w:sz w:val="21"/>
          <w:szCs w:val="21"/>
        </w:rPr>
      </w:pPr>
      <w:r w:rsidRPr="00C96A75">
        <w:t>При этом в случае, если НМЦК, определенная методом сопоставимых рыночных цен (анализа рынка), ниже НМЦК, определенной нормативным методом, при осуществлении закупки рекомендуем применять НМЦК, определенную методом сопоставимых рыночных цен (анализа рынка).</w:t>
      </w:r>
    </w:p>
    <w:p w:rsidR="00C96A75" w:rsidRPr="00C96A75" w:rsidRDefault="00C96A75" w:rsidP="00C96A75">
      <w:pPr>
        <w:rPr>
          <w:rFonts w:ascii="Verdana" w:hAnsi="Verdana"/>
          <w:sz w:val="21"/>
          <w:szCs w:val="21"/>
        </w:rPr>
      </w:pPr>
      <w:r w:rsidRPr="00C96A75">
        <w:t> </w:t>
      </w:r>
    </w:p>
    <w:p w:rsidR="00C96A75" w:rsidRPr="00C96A75" w:rsidRDefault="00C96A75" w:rsidP="00C96A75">
      <w:pPr>
        <w:jc w:val="right"/>
        <w:rPr>
          <w:rFonts w:ascii="Verdana" w:hAnsi="Verdana"/>
          <w:sz w:val="21"/>
          <w:szCs w:val="21"/>
        </w:rPr>
      </w:pPr>
      <w:r w:rsidRPr="00C96A75">
        <w:t>Заместитель директора Департамента</w:t>
      </w:r>
    </w:p>
    <w:p w:rsidR="00C96A75" w:rsidRPr="00C96A75" w:rsidRDefault="00C96A75" w:rsidP="00C96A75">
      <w:pPr>
        <w:jc w:val="right"/>
        <w:rPr>
          <w:rFonts w:ascii="Verdana" w:hAnsi="Verdana"/>
          <w:sz w:val="21"/>
          <w:szCs w:val="21"/>
        </w:rPr>
      </w:pPr>
      <w:r w:rsidRPr="00C96A75">
        <w:t>Д.А.ГОТОВЦЕВ</w:t>
      </w:r>
    </w:p>
    <w:p w:rsidR="00F01971" w:rsidRPr="00C96A75" w:rsidRDefault="00C96A75">
      <w:r w:rsidRPr="00C96A75">
        <w:t>11.03.2020</w:t>
      </w:r>
      <w:bookmarkEnd w:id="0"/>
    </w:p>
    <w:sectPr w:rsidR="00F01971" w:rsidRPr="00C9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75"/>
    <w:rsid w:val="00C96A75"/>
    <w:rsid w:val="00F0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21AC8-30DD-4E3F-A182-A2BD0CB6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2021-06-07T04:43:00Z</dcterms:created>
  <dcterms:modified xsi:type="dcterms:W3CDTF">2021-06-07T04:44:00Z</dcterms:modified>
</cp:coreProperties>
</file>