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00" w:rsidRDefault="00887100" w:rsidP="00887100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  <w:r>
        <w:rPr>
          <w:color w:val="22272F"/>
          <w:sz w:val="34"/>
          <w:szCs w:val="34"/>
        </w:rPr>
        <w:t>Информационное сообщение Банка России от 11 июня 2021 г.</w:t>
      </w:r>
      <w:r>
        <w:rPr>
          <w:color w:val="22272F"/>
          <w:sz w:val="34"/>
          <w:szCs w:val="34"/>
        </w:rPr>
        <w:br/>
        <w:t xml:space="preserve">"Банк России принял решение повысить ключевую ставку на 50 </w:t>
      </w:r>
      <w:proofErr w:type="spellStart"/>
      <w:r>
        <w:rPr>
          <w:color w:val="22272F"/>
          <w:sz w:val="34"/>
          <w:szCs w:val="34"/>
        </w:rPr>
        <w:t>б.п</w:t>
      </w:r>
      <w:proofErr w:type="spellEnd"/>
      <w:r>
        <w:rPr>
          <w:color w:val="22272F"/>
          <w:sz w:val="34"/>
          <w:szCs w:val="34"/>
        </w:rPr>
        <w:t>., до 5,50% годовых"</w:t>
      </w:r>
    </w:p>
    <w:p w:rsidR="00887100" w:rsidRDefault="00887100" w:rsidP="0088710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Совет директоров Банка России 11 июня 2021 года принял решение повысить </w:t>
      </w:r>
      <w:r w:rsidRPr="00887100">
        <w:rPr>
          <w:color w:val="22272F"/>
          <w:sz w:val="23"/>
          <w:szCs w:val="23"/>
        </w:rPr>
        <w:t>ключевую ставку</w:t>
      </w:r>
      <w:r>
        <w:rPr>
          <w:color w:val="22272F"/>
          <w:sz w:val="23"/>
          <w:szCs w:val="23"/>
        </w:rPr>
        <w:t xml:space="preserve"> на 50 </w:t>
      </w:r>
      <w:proofErr w:type="spellStart"/>
      <w:r>
        <w:rPr>
          <w:color w:val="22272F"/>
          <w:sz w:val="23"/>
          <w:szCs w:val="23"/>
        </w:rPr>
        <w:t>б.п</w:t>
      </w:r>
      <w:proofErr w:type="spellEnd"/>
      <w:r>
        <w:rPr>
          <w:color w:val="22272F"/>
          <w:sz w:val="23"/>
          <w:szCs w:val="23"/>
        </w:rPr>
        <w:t>., до 5,50% годовых. Российская и мировая экономика восстанавливаются быстрее, чем ожидалось ранее. </w:t>
      </w:r>
      <w:r w:rsidRPr="00887100">
        <w:rPr>
          <w:color w:val="22272F"/>
          <w:sz w:val="23"/>
          <w:szCs w:val="23"/>
        </w:rPr>
        <w:t>Инфляция</w:t>
      </w:r>
      <w:r>
        <w:rPr>
          <w:color w:val="22272F"/>
          <w:sz w:val="23"/>
          <w:szCs w:val="23"/>
        </w:rPr>
        <w:t xml:space="preserve"> складывается выше прогноза Банка России. Вклад в инфляцию со стороны устойчивых факторов возрастает в связи с более быстрым расширением спроса по сравнению с возможностями наращивания выпуска. На краткосрочном горизонте это влияние усиливается ростом цен на мировых товарных рынках. C учетом высоких инфляционных ожиданий баланс рисков значимо сместился в сторону </w:t>
      </w:r>
      <w:proofErr w:type="spellStart"/>
      <w:r>
        <w:rPr>
          <w:color w:val="22272F"/>
          <w:sz w:val="23"/>
          <w:szCs w:val="23"/>
        </w:rPr>
        <w:t>проинфляционных</w:t>
      </w:r>
      <w:proofErr w:type="spellEnd"/>
      <w:r>
        <w:rPr>
          <w:color w:val="22272F"/>
          <w:sz w:val="23"/>
          <w:szCs w:val="23"/>
        </w:rPr>
        <w:t>.</w:t>
      </w:r>
    </w:p>
    <w:p w:rsidR="00887100" w:rsidRDefault="00887100" w:rsidP="0088710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Повышенное инфляционное давление в условиях завершающегося восстановления экономики может привести к более значительному и продолжительному отклонению </w:t>
      </w:r>
      <w:r w:rsidRPr="00887100">
        <w:rPr>
          <w:color w:val="22272F"/>
          <w:sz w:val="23"/>
          <w:szCs w:val="23"/>
        </w:rPr>
        <w:t>инфляции</w:t>
      </w:r>
      <w:r>
        <w:rPr>
          <w:color w:val="22272F"/>
          <w:sz w:val="23"/>
          <w:szCs w:val="23"/>
        </w:rPr>
        <w:t> вверх от цели. Это формирует необходимость дальнейшего повышения </w:t>
      </w:r>
      <w:r w:rsidRPr="00887100">
        <w:rPr>
          <w:color w:val="22272F"/>
          <w:sz w:val="23"/>
          <w:szCs w:val="23"/>
        </w:rPr>
        <w:t>ключевой ставки</w:t>
      </w:r>
      <w:r>
        <w:rPr>
          <w:color w:val="22272F"/>
          <w:sz w:val="23"/>
          <w:szCs w:val="23"/>
        </w:rPr>
        <w:t> на ближайших заседаниях. Решения по ключевой ставке будут приниматься с учетом фактической и ожидаемой динамики инфляции относительно цели, развития экономики на прогнозном горизонте, а также оценки рисков со стороны внутренних и внешних условий и реакции на них финансовых рынков. В условиях проводимой денежно-кредитной политики годовая инфляция вернется к цели Банка России во втором полугодии 2022 года и будет находиться вблизи 4% в дальнейшем.</w:t>
      </w:r>
    </w:p>
    <w:p w:rsidR="00887100" w:rsidRDefault="00887100" w:rsidP="0088710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Динамика </w:t>
      </w:r>
      <w:r w:rsidRPr="00887100">
        <w:rPr>
          <w:color w:val="22272F"/>
          <w:sz w:val="23"/>
          <w:szCs w:val="23"/>
        </w:rPr>
        <w:t>инфляции</w:t>
      </w:r>
      <w:r>
        <w:rPr>
          <w:color w:val="22272F"/>
          <w:sz w:val="23"/>
          <w:szCs w:val="23"/>
        </w:rPr>
        <w:t>. Инфляция складывается выше прогноза Банка России. В мае месячные сезонно сглаженные темпы роста потребительских цен существенно ускорились, а годовая инфляция увеличилась до 6,0% (после 5,5% в апреле). По оценкам на 7 июня, годовая инфляция выросла до 6,15%. Показатели, отражающие наиболее устойчивые процессы ценовой динамики, по оценкам Банка России, в мае также повысились и находятся значимо выше 4% в годовом выражении.</w:t>
      </w:r>
    </w:p>
    <w:p w:rsidR="00887100" w:rsidRDefault="00887100" w:rsidP="0088710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Это является отражением того факта, что устойчивый рост внутреннего спроса опережает возможности расширения предложения по широкому кругу отраслей. На этом фоне предприятиям легче переносить в цены возросшие издержки.</w:t>
      </w:r>
    </w:p>
    <w:p w:rsidR="00887100" w:rsidRDefault="00887100" w:rsidP="0088710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Инфляционные ожидания населения уже несколько месяцев находятся вблизи максимальных значений за последние 4 года. Продолжают расти ценовые ожидания предприятий, оставаясь выше локальных максимумов 2019 - 2020 годов. Ожидания профессиональных аналитиков на среднесрочную перспективу заякорены вблизи 4%.</w:t>
      </w:r>
    </w:p>
    <w:p w:rsidR="00887100" w:rsidRDefault="00887100" w:rsidP="0088710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условиях проводимой денежно-кредитной политики годовая </w:t>
      </w:r>
      <w:r w:rsidRPr="00887100">
        <w:rPr>
          <w:color w:val="22272F"/>
          <w:sz w:val="23"/>
          <w:szCs w:val="23"/>
        </w:rPr>
        <w:t>инфляция</w:t>
      </w:r>
      <w:r>
        <w:rPr>
          <w:color w:val="22272F"/>
          <w:sz w:val="23"/>
          <w:szCs w:val="23"/>
        </w:rPr>
        <w:t> вернется к цели Банка России во втором полугодии 2022 года и будет находиться вблизи 4% в дальнейшем.</w:t>
      </w:r>
    </w:p>
    <w:p w:rsidR="00887100" w:rsidRDefault="00887100" w:rsidP="0088710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Денежно-кредитные условия остаются мягкими с учетом повышенных инфляционных ожиданий и фактической </w:t>
      </w:r>
      <w:r w:rsidRPr="00887100">
        <w:rPr>
          <w:color w:val="22272F"/>
          <w:sz w:val="23"/>
          <w:szCs w:val="23"/>
        </w:rPr>
        <w:t>инфляции</w:t>
      </w:r>
      <w:r>
        <w:rPr>
          <w:color w:val="22272F"/>
          <w:sz w:val="23"/>
          <w:szCs w:val="23"/>
        </w:rPr>
        <w:t>. В этих условиях кредитование продолжает расти темпами, близкими к максимумам последних лет. Вместе с тем доходности краткосрочных ОФЗ увеличились, отражая ожидания более быстрого повышения Банком России </w:t>
      </w:r>
      <w:r w:rsidRPr="00887100">
        <w:rPr>
          <w:color w:val="22272F"/>
          <w:sz w:val="23"/>
          <w:szCs w:val="23"/>
        </w:rPr>
        <w:t>ключевой ставки</w:t>
      </w:r>
      <w:r>
        <w:rPr>
          <w:color w:val="22272F"/>
          <w:sz w:val="23"/>
          <w:szCs w:val="23"/>
        </w:rPr>
        <w:t>. Наметилась тенденция к росту депозитных ставок. Решения Банка России о повышении ключевой ставки и произошедшее с начала текущего года увеличение доходностей ОФЗ обусловят дальнейший рост кредитно-депозитных ставок. Это позволит повысить привлекательность банковских депозитов для населения, защитить покупательную способность сбережений и обеспечит сбалансированный рост кредитования.</w:t>
      </w:r>
    </w:p>
    <w:p w:rsidR="00887100" w:rsidRDefault="00887100" w:rsidP="0088710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Экономическая активность восстанавливается быстрее ожиданий Банка России. Оперативные индикаторы свидетельствуют об устойчивом росте потребительского и инвестиционного </w:t>
      </w:r>
      <w:r>
        <w:rPr>
          <w:color w:val="22272F"/>
          <w:sz w:val="23"/>
          <w:szCs w:val="23"/>
        </w:rPr>
        <w:lastRenderedPageBreak/>
        <w:t>спроса. По оценкам Банка России, потребительская активность в целом достигла уровней до начала пандемии. Продолжается активное восстановление сектора услуг населению. Выпуск в большинстве отраслей экономики, по оценкам Банка России, превысил докризисные уровни. Спрос на рабочую силу растет по широкому кругу отраслей. При этом в некоторых секторах наблюдается ее дефицит.</w:t>
      </w:r>
    </w:p>
    <w:p w:rsidR="00887100" w:rsidRDefault="00887100" w:rsidP="0088710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Поддержку российской экономике также оказывает внешний спрос. На фоне постепенной нормализации эпидемической обстановки в мире улучшаются перспективы восстановления мировой экономики. Это, в свою очередь, усиливает рост цен на мировых товарных рынках.</w:t>
      </w:r>
    </w:p>
    <w:p w:rsidR="00887100" w:rsidRDefault="00887100" w:rsidP="0088710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этих условиях, по оценкам Банка России, российская экономика вернется к докризисному уровню уже в II квартале 2021 года. На среднесрочную траекторию экономического роста значимое влияние будут оказывать факторы со стороны как внутренних, так и внешних условий. Динамика внутреннего спроса будет во многом определяться темпами дальнейшего расширения потребительского и инвестиционного спроса. Поддержку потребительскому спросу будет оказывать дальнейшее снижение склонности домашних хозяйств к сбережению наряду с ростом доходов и кредитования. Влияние на внутренний спрос также окажет процесс нормализации бюджетной политики с учетом объявленных дополнительных социальных и инфраструктурных мер. Динамика внешнего спроса будет в большей степени зависеть от мер бюджетной поддержки в отдельных развитых странах, а также темпов вакцинации в мире.</w:t>
      </w:r>
    </w:p>
    <w:p w:rsidR="00887100" w:rsidRDefault="00887100" w:rsidP="0088710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Инфляционные риски. Баланс рисков значимо сместился в сторону </w:t>
      </w:r>
      <w:proofErr w:type="spellStart"/>
      <w:r>
        <w:rPr>
          <w:color w:val="22272F"/>
          <w:sz w:val="23"/>
          <w:szCs w:val="23"/>
        </w:rPr>
        <w:t>проинфляционных</w:t>
      </w:r>
      <w:proofErr w:type="spellEnd"/>
      <w:r>
        <w:rPr>
          <w:color w:val="22272F"/>
          <w:sz w:val="23"/>
          <w:szCs w:val="23"/>
        </w:rPr>
        <w:t xml:space="preserve">. Действие </w:t>
      </w:r>
      <w:proofErr w:type="spellStart"/>
      <w:r>
        <w:rPr>
          <w:color w:val="22272F"/>
          <w:sz w:val="23"/>
          <w:szCs w:val="23"/>
        </w:rPr>
        <w:t>проинфляционных</w:t>
      </w:r>
      <w:proofErr w:type="spellEnd"/>
      <w:r>
        <w:rPr>
          <w:color w:val="22272F"/>
          <w:sz w:val="23"/>
          <w:szCs w:val="23"/>
        </w:rPr>
        <w:t xml:space="preserve"> факторов может быть усилено повышенными инфляционными ожиданиями и сопутствующими вторичными эффектами.</w:t>
      </w:r>
    </w:p>
    <w:p w:rsidR="00887100" w:rsidRDefault="00887100" w:rsidP="0088710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Источником инфляционного давления может стать более существенное, чем ожидается, снижение склонности домашних хозяйств к сбережению под влиянием сочетания низких процентных ставок и роста цен. Дополнительное повышательное давление на цены могут продолжить оказывать сохраняющиеся затруднения в производственных и логистических цепочках. </w:t>
      </w:r>
      <w:proofErr w:type="spellStart"/>
      <w:r>
        <w:rPr>
          <w:color w:val="22272F"/>
          <w:sz w:val="23"/>
          <w:szCs w:val="23"/>
        </w:rPr>
        <w:t>Проинфляционные</w:t>
      </w:r>
      <w:proofErr w:type="spellEnd"/>
      <w:r>
        <w:rPr>
          <w:color w:val="22272F"/>
          <w:sz w:val="23"/>
          <w:szCs w:val="23"/>
        </w:rPr>
        <w:t xml:space="preserve"> риски также создает ценовая конъюнктура мировых товарных рынков под воздействием факторов как со стороны спроса, так и со стороны предложения. Это может влиять на внутренние цены соответствующих товаров. Вместе с тем дальнейшая динамика продовольственных цен будет во многом зависеть от перспектив урожая сельскохозяйственных культур как внутри страны, так и за рубежом.</w:t>
      </w:r>
    </w:p>
    <w:p w:rsidR="00887100" w:rsidRDefault="00887100" w:rsidP="0088710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Краткосрочные </w:t>
      </w:r>
      <w:proofErr w:type="spellStart"/>
      <w:r>
        <w:rPr>
          <w:color w:val="22272F"/>
          <w:sz w:val="23"/>
          <w:szCs w:val="23"/>
        </w:rPr>
        <w:t>проинфляционные</w:t>
      </w:r>
      <w:proofErr w:type="spellEnd"/>
      <w:r>
        <w:rPr>
          <w:color w:val="22272F"/>
          <w:sz w:val="23"/>
          <w:szCs w:val="23"/>
        </w:rPr>
        <w:t xml:space="preserve"> риски также связаны с усилением волатильности на глобальных рынках, в том числе под влиянием различных геополитических событий, что может отражаться на курсовых и инфляционных ожиданиях. В условиях более быстрого, чем ожидалось ранее, восстановления мировой экономики и, соответственно, исчерпания необходимости проведения беспрецедентно стимулирующей политики в развитых экономиках возможно более раннее начало нормализации денежно-кредитной политики центральными банками этих стран. Это может стать дополнительным фактором роста волатильности на мировых финансовых рынках.</w:t>
      </w:r>
    </w:p>
    <w:p w:rsidR="00887100" w:rsidRDefault="00887100" w:rsidP="0088710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proofErr w:type="spellStart"/>
      <w:r>
        <w:rPr>
          <w:color w:val="22272F"/>
          <w:sz w:val="23"/>
          <w:szCs w:val="23"/>
        </w:rPr>
        <w:t>Дезинфляционные</w:t>
      </w:r>
      <w:proofErr w:type="spellEnd"/>
      <w:r>
        <w:rPr>
          <w:color w:val="22272F"/>
          <w:sz w:val="23"/>
          <w:szCs w:val="23"/>
        </w:rPr>
        <w:t xml:space="preserve"> риски для базового сценария остаются умеренными. Открытие границ по мере снятия ограничительных мер может восстановить потребление зарубежных услуг, а также ослабить ограничения со стороны предложения на рынке труда через приток иностранной рабочей силы. Замедлить дальнейший рост экономической активности могут, в частности, низкие темпы вакцинации и распространение новых штаммов вируса, а также связанное с этим ужесточение ограничительных мер.</w:t>
      </w:r>
    </w:p>
    <w:p w:rsidR="00887100" w:rsidRDefault="00887100" w:rsidP="0088710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 среднесрочную динамику </w:t>
      </w:r>
      <w:r w:rsidRPr="00887100">
        <w:rPr>
          <w:color w:val="22272F"/>
          <w:sz w:val="23"/>
          <w:szCs w:val="23"/>
        </w:rPr>
        <w:t>инфляции</w:t>
      </w:r>
      <w:r>
        <w:rPr>
          <w:color w:val="22272F"/>
          <w:sz w:val="23"/>
          <w:szCs w:val="23"/>
        </w:rPr>
        <w:t xml:space="preserve"> значимо влияет бюджетная политика. В базовом сценарии Банк России исходит из заложенной в Основных направлениях бюджетной, налоговой и таможенно-тарифной политики на 2021 год и на плановый период 2022 и </w:t>
      </w:r>
      <w:r>
        <w:rPr>
          <w:color w:val="22272F"/>
          <w:sz w:val="23"/>
          <w:szCs w:val="23"/>
        </w:rPr>
        <w:lastRenderedPageBreak/>
        <w:t>2023 годов траектории нормализации бюджетной политики, предполагающей возвращение к параметрам бюджетного правила в 2022 году. Банк России также будет учитывать в прогнозе решения об инвестировании ликвидной части Фонда национального благосостояния сверх порогового уровня в 7% ВВП.</w:t>
      </w:r>
    </w:p>
    <w:p w:rsidR="00887100" w:rsidRDefault="00887100" w:rsidP="0088710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Повышенное инфляционное давление в условиях завершающегося восстановления экономики может привести к более значительному и продолжительному отклонению </w:t>
      </w:r>
      <w:r w:rsidRPr="00887100">
        <w:rPr>
          <w:color w:val="22272F"/>
          <w:sz w:val="23"/>
          <w:szCs w:val="23"/>
        </w:rPr>
        <w:t>инфляции</w:t>
      </w:r>
      <w:r>
        <w:rPr>
          <w:color w:val="22272F"/>
          <w:sz w:val="23"/>
          <w:szCs w:val="23"/>
        </w:rPr>
        <w:t> вверх от цели. Это формирует необходимость дальнейшего повышения </w:t>
      </w:r>
      <w:r w:rsidRPr="00887100">
        <w:rPr>
          <w:color w:val="22272F"/>
          <w:sz w:val="23"/>
          <w:szCs w:val="23"/>
        </w:rPr>
        <w:t>ключевой ставки</w:t>
      </w:r>
      <w:r>
        <w:rPr>
          <w:color w:val="22272F"/>
          <w:sz w:val="23"/>
          <w:szCs w:val="23"/>
        </w:rPr>
        <w:t> на ближайших заседаниях. Решения по ключевой ставке будут приниматься с учетом фактической и ожидаемой динамики инфляции относительно цели, развития экономики на прогнозном горизонте, а также оценки рисков со стороны внутренних и внешних условий и реакции на них финансовых рынков.</w:t>
      </w:r>
    </w:p>
    <w:p w:rsidR="00887100" w:rsidRDefault="00887100" w:rsidP="0088710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Следующее заседание Совета директоров Банка России, на котором будет рассматриваться вопрос об уровне </w:t>
      </w:r>
      <w:r w:rsidRPr="00887100">
        <w:rPr>
          <w:color w:val="22272F"/>
          <w:sz w:val="23"/>
          <w:szCs w:val="23"/>
        </w:rPr>
        <w:t>ключе</w:t>
      </w:r>
      <w:bookmarkStart w:id="0" w:name="_GoBack"/>
      <w:bookmarkEnd w:id="0"/>
      <w:r w:rsidRPr="00887100">
        <w:rPr>
          <w:color w:val="22272F"/>
          <w:sz w:val="23"/>
          <w:szCs w:val="23"/>
        </w:rPr>
        <w:t>вой ставки</w:t>
      </w:r>
      <w:r>
        <w:rPr>
          <w:color w:val="22272F"/>
          <w:sz w:val="23"/>
          <w:szCs w:val="23"/>
        </w:rPr>
        <w:t>, запланировано на 23 июля 2021 года. Время публикации пресс-релиза о решении Совета директоров Банка России и среднесрочного прогноза Банка России - 13:30 по московскому времени.</w:t>
      </w:r>
    </w:p>
    <w:p w:rsidR="001873E7" w:rsidRDefault="001873E7"/>
    <w:sectPr w:rsidR="0018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00"/>
    <w:rsid w:val="001873E7"/>
    <w:rsid w:val="008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4E6A8-FABB-4EB8-B6F2-8F0C4ACB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8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8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7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2021-06-16T09:55:00Z</dcterms:created>
  <dcterms:modified xsi:type="dcterms:W3CDTF">2021-06-16T09:58:00Z</dcterms:modified>
</cp:coreProperties>
</file>