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D7C" w:rsidRPr="001E263B" w:rsidRDefault="00173D7C" w:rsidP="00173D7C">
      <w:pPr>
        <w:shd w:val="clear" w:color="auto" w:fill="FFFFFF"/>
        <w:spacing w:line="288" w:lineRule="atLeast"/>
        <w:jc w:val="both"/>
        <w:rPr>
          <w:color w:val="000000"/>
          <w:sz w:val="30"/>
          <w:szCs w:val="30"/>
        </w:rPr>
      </w:pPr>
      <w:r w:rsidRPr="001E263B">
        <w:rPr>
          <w:color w:val="000000"/>
          <w:sz w:val="30"/>
          <w:szCs w:val="30"/>
        </w:rPr>
        <w:t> </w:t>
      </w:r>
    </w:p>
    <w:p w:rsidR="00173D7C" w:rsidRDefault="00173D7C" w:rsidP="00173D7C">
      <w:pPr>
        <w:shd w:val="clear" w:color="auto" w:fill="FFFFFF"/>
        <w:spacing w:line="288" w:lineRule="atLeast"/>
        <w:jc w:val="both"/>
        <w:rPr>
          <w:rFonts w:ascii="Arial" w:hAnsi="Arial" w:cs="Arial"/>
          <w:color w:val="000000"/>
        </w:rPr>
      </w:pPr>
      <w:r w:rsidRPr="001E263B">
        <w:rPr>
          <w:color w:val="000000"/>
          <w:sz w:val="30"/>
          <w:szCs w:val="30"/>
        </w:rPr>
        <w:t> </w:t>
      </w:r>
    </w:p>
    <w:p w:rsidR="00173D7C" w:rsidRDefault="00173D7C" w:rsidP="00173D7C">
      <w:pPr>
        <w:jc w:val="center"/>
        <w:rPr>
          <w:rFonts w:ascii="Verdana" w:hAnsi="Verdana"/>
          <w:b/>
          <w:bCs/>
          <w:sz w:val="21"/>
          <w:szCs w:val="21"/>
        </w:rPr>
      </w:pPr>
      <w:r>
        <w:rPr>
          <w:rFonts w:ascii="Arial" w:hAnsi="Arial" w:cs="Arial"/>
          <w:b/>
          <w:bCs/>
        </w:rPr>
        <w:t>МИНИСТЕРСТВО ФИНАНСОВ РОССИЙСКОЙ ФЕДЕРАЦИИ</w:t>
      </w:r>
    </w:p>
    <w:p w:rsidR="00173D7C" w:rsidRDefault="00173D7C" w:rsidP="00173D7C">
      <w:pPr>
        <w:jc w:val="center"/>
        <w:rPr>
          <w:rFonts w:ascii="Verdana" w:hAnsi="Verdana"/>
          <w:b/>
          <w:bCs/>
          <w:sz w:val="21"/>
          <w:szCs w:val="21"/>
        </w:rPr>
      </w:pPr>
      <w:r>
        <w:rPr>
          <w:rFonts w:ascii="Arial" w:hAnsi="Arial" w:cs="Arial"/>
          <w:b/>
          <w:bCs/>
        </w:rPr>
        <w:t> </w:t>
      </w:r>
    </w:p>
    <w:p w:rsidR="00173D7C" w:rsidRDefault="00173D7C" w:rsidP="00173D7C">
      <w:pPr>
        <w:jc w:val="center"/>
        <w:rPr>
          <w:rFonts w:ascii="Verdana" w:hAnsi="Verdana"/>
          <w:b/>
          <w:bCs/>
          <w:sz w:val="21"/>
          <w:szCs w:val="21"/>
        </w:rPr>
      </w:pPr>
      <w:r>
        <w:rPr>
          <w:rFonts w:ascii="Arial" w:hAnsi="Arial" w:cs="Arial"/>
          <w:b/>
          <w:bCs/>
        </w:rPr>
        <w:t>ПИСЬМО</w:t>
      </w:r>
    </w:p>
    <w:p w:rsidR="00173D7C" w:rsidRDefault="00173D7C" w:rsidP="00173D7C">
      <w:pPr>
        <w:jc w:val="center"/>
        <w:rPr>
          <w:rFonts w:ascii="Verdana" w:hAnsi="Verdana"/>
          <w:b/>
          <w:bCs/>
          <w:sz w:val="21"/>
          <w:szCs w:val="21"/>
        </w:rPr>
      </w:pPr>
      <w:r>
        <w:rPr>
          <w:rFonts w:ascii="Arial" w:hAnsi="Arial" w:cs="Arial"/>
          <w:b/>
          <w:bCs/>
        </w:rPr>
        <w:t>от 1 октября 2020 г. № 24-03-07/86031</w:t>
      </w:r>
    </w:p>
    <w:p w:rsidR="00173D7C" w:rsidRDefault="00173D7C" w:rsidP="00173D7C">
      <w:pPr>
        <w:rPr>
          <w:rFonts w:ascii="Verdana" w:hAnsi="Verdana"/>
          <w:sz w:val="21"/>
          <w:szCs w:val="21"/>
        </w:rPr>
      </w:pPr>
      <w:r>
        <w:t> </w:t>
      </w:r>
    </w:p>
    <w:p w:rsidR="00173D7C" w:rsidRDefault="00173D7C" w:rsidP="00173D7C">
      <w:pPr>
        <w:ind w:firstLine="540"/>
        <w:jc w:val="both"/>
        <w:rPr>
          <w:rFonts w:ascii="Verdana" w:hAnsi="Verdana"/>
          <w:sz w:val="21"/>
          <w:szCs w:val="21"/>
        </w:rPr>
      </w:pPr>
      <w:r>
        <w:t xml:space="preserve">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w:t>
      </w:r>
      <w:r w:rsidRPr="002A75EA">
        <w:t>закона</w:t>
      </w:r>
      <w: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ответственности поставщика (подрядчика, исполнителя) за неисполнение (ненадлежащее исполнение) обязательств по контракту, в рамках компетенции сообщает следующее.</w:t>
      </w:r>
    </w:p>
    <w:p w:rsidR="00173D7C" w:rsidRDefault="00173D7C" w:rsidP="00173D7C">
      <w:pPr>
        <w:ind w:firstLine="540"/>
        <w:jc w:val="both"/>
        <w:rPr>
          <w:rFonts w:ascii="Verdana" w:hAnsi="Verdana"/>
          <w:sz w:val="21"/>
          <w:szCs w:val="21"/>
        </w:rPr>
      </w:pPr>
      <w:r>
        <w:t xml:space="preserve">В соответствии с </w:t>
      </w:r>
      <w:r w:rsidRPr="002A75EA">
        <w:t>пунктом 11.8</w:t>
      </w:r>
      <w:r>
        <w:t xml:space="preserve">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173D7C" w:rsidRDefault="00173D7C" w:rsidP="00173D7C">
      <w:pPr>
        <w:ind w:firstLine="540"/>
        <w:jc w:val="both"/>
        <w:rPr>
          <w:rFonts w:ascii="Verdana" w:hAnsi="Verdana"/>
          <w:sz w:val="21"/>
          <w:szCs w:val="21"/>
        </w:rPr>
      </w:pPr>
      <w:r>
        <w:t xml:space="preserve">Согласно </w:t>
      </w:r>
      <w:r w:rsidRPr="002A75EA">
        <w:t>пункту 2</w:t>
      </w:r>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 1009, письма федеральных органов исполнительной власти не являются нормативными правовыми актами.</w:t>
      </w:r>
    </w:p>
    <w:p w:rsidR="00173D7C" w:rsidRDefault="00173D7C" w:rsidP="00173D7C">
      <w:pPr>
        <w:ind w:firstLine="540"/>
        <w:jc w:val="both"/>
        <w:rPr>
          <w:rFonts w:ascii="Verdana" w:hAnsi="Verdana"/>
          <w:sz w:val="21"/>
          <w:szCs w:val="21"/>
        </w:rPr>
      </w:pPr>
      <w:r>
        <w:t>В этой связи следует учитывать, что письма Минфина России и его структурных подразделений не содержат правовых норм, не направлены на установление, изменение или отмену таких норм,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w:t>
      </w:r>
    </w:p>
    <w:p w:rsidR="00173D7C" w:rsidRDefault="00173D7C" w:rsidP="00173D7C">
      <w:pPr>
        <w:ind w:firstLine="540"/>
        <w:jc w:val="both"/>
        <w:rPr>
          <w:rFonts w:ascii="Verdana" w:hAnsi="Verdana"/>
          <w:sz w:val="21"/>
          <w:szCs w:val="21"/>
        </w:rPr>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173D7C" w:rsidRDefault="00173D7C" w:rsidP="00173D7C">
      <w:pPr>
        <w:ind w:firstLine="540"/>
        <w:jc w:val="both"/>
        <w:rPr>
          <w:rFonts w:ascii="Verdana" w:hAnsi="Verdana"/>
          <w:sz w:val="21"/>
          <w:szCs w:val="21"/>
        </w:rPr>
      </w:pPr>
      <w:r>
        <w:t>Вместе с тем Департамент считает необходимым отметить следующее.</w:t>
      </w:r>
    </w:p>
    <w:p w:rsidR="00173D7C" w:rsidRDefault="00173D7C" w:rsidP="00173D7C">
      <w:pPr>
        <w:ind w:firstLine="540"/>
        <w:jc w:val="both"/>
        <w:rPr>
          <w:rFonts w:ascii="Verdana" w:hAnsi="Verdana"/>
          <w:sz w:val="21"/>
          <w:szCs w:val="21"/>
        </w:rPr>
      </w:pPr>
      <w:r>
        <w:t xml:space="preserve">Согласно </w:t>
      </w:r>
      <w:r w:rsidRPr="002A75EA">
        <w:t>пункту 1 части 1 статьи 94</w:t>
      </w:r>
      <w:r>
        <w:t xml:space="preserve"> Закона № 44-ФЗ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Законом № 44-ФЗ, в том числе оплату отдельных этапов исполнения контракта, приемку отдельных этапов выполнения работы, предусмотренных контрактом.</w:t>
      </w:r>
    </w:p>
    <w:p w:rsidR="00173D7C" w:rsidRDefault="00173D7C" w:rsidP="00173D7C">
      <w:pPr>
        <w:ind w:firstLine="540"/>
        <w:jc w:val="both"/>
        <w:rPr>
          <w:rFonts w:ascii="Verdana" w:hAnsi="Verdana"/>
          <w:sz w:val="21"/>
          <w:szCs w:val="21"/>
        </w:rPr>
      </w:pPr>
      <w:r>
        <w:t xml:space="preserve">Следует отметить, что </w:t>
      </w:r>
      <w:r w:rsidRPr="002A75EA">
        <w:t>Закон</w:t>
      </w:r>
      <w:r>
        <w:t xml:space="preserve"> № 44-ФЗ не содержит исчерпывающего содержания понятия этапа исполнения контракта, в связи с чем во избежание возникновения спорных ситуаций в </w:t>
      </w:r>
      <w:proofErr w:type="spellStart"/>
      <w:r>
        <w:t>правоприменении</w:t>
      </w:r>
      <w:proofErr w:type="spellEnd"/>
      <w:r>
        <w:t xml:space="preserve"> заказчикам целесообразно указывать на наличие либо отсутствие этапов исполнения контракта.</w:t>
      </w:r>
    </w:p>
    <w:p w:rsidR="00173D7C" w:rsidRDefault="00173D7C" w:rsidP="00173D7C">
      <w:pPr>
        <w:ind w:firstLine="540"/>
        <w:jc w:val="both"/>
        <w:rPr>
          <w:rFonts w:ascii="Verdana" w:hAnsi="Verdana"/>
          <w:sz w:val="21"/>
          <w:szCs w:val="21"/>
        </w:rPr>
      </w:pPr>
      <w:r>
        <w:t xml:space="preserve">Заказчики в документации о закупке, проекте контракта самостоятельно устанавливают этапы исполнения контракта. При этом согласно </w:t>
      </w:r>
      <w:r w:rsidRPr="002A75EA">
        <w:t>части 2 статьи 34</w:t>
      </w:r>
      <w:r>
        <w:t>,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173D7C" w:rsidRDefault="00173D7C" w:rsidP="00173D7C">
      <w:pPr>
        <w:ind w:firstLine="540"/>
        <w:jc w:val="both"/>
        <w:rPr>
          <w:rFonts w:ascii="Verdana" w:hAnsi="Verdana"/>
          <w:sz w:val="21"/>
          <w:szCs w:val="21"/>
        </w:rPr>
      </w:pPr>
      <w:r>
        <w:lastRenderedPageBreak/>
        <w:t xml:space="preserve">При этом дополнительно отмечаем, что Минфином России разработан и внесен в Правительство Российской Федерации </w:t>
      </w:r>
      <w:r w:rsidRPr="002A75EA">
        <w:t>проект</w:t>
      </w:r>
      <w:r>
        <w:t xml:space="preserve"> федерального закона "О внесении изменений в отдельные законодательные акты Российской Федерации по вопросам упрощения и оптимизации порядка осуществления закупок товаров, работ, услуг для государственных и муниципальных нужд и признании утратившими силу отдельных положений законодательных актов Российской Федерации", который в том числе устанавливает определение отдельного этапа исполнения контракта.</w:t>
      </w:r>
    </w:p>
    <w:p w:rsidR="00173D7C" w:rsidRDefault="00173D7C" w:rsidP="00173D7C">
      <w:pPr>
        <w:ind w:firstLine="540"/>
        <w:jc w:val="both"/>
        <w:rPr>
          <w:rFonts w:ascii="Verdana" w:hAnsi="Verdana"/>
          <w:sz w:val="21"/>
          <w:szCs w:val="21"/>
        </w:rPr>
      </w:pPr>
      <w:r>
        <w:t xml:space="preserve">Так, согласно указанному </w:t>
      </w:r>
      <w:r w:rsidRPr="002A75EA">
        <w:t>законопроекту</w:t>
      </w:r>
      <w:r>
        <w:t xml:space="preserve"> отдельный этап исполнения контракта - срок исполнения поставщиком (подрядчиком, исполнителем) отдельных обязательств, предусмотренных контрактом, завершающийся предоставлением заказчику результатов поставки товара, выполнения работы или оказания услуги, подлежащих поставке, выполнению или оказанию в такой срок.</w:t>
      </w:r>
    </w:p>
    <w:p w:rsidR="00173D7C" w:rsidRDefault="00173D7C" w:rsidP="00173D7C">
      <w:pPr>
        <w:ind w:firstLine="540"/>
        <w:jc w:val="both"/>
        <w:rPr>
          <w:rFonts w:ascii="Verdana" w:hAnsi="Verdana"/>
          <w:sz w:val="21"/>
          <w:szCs w:val="21"/>
        </w:rPr>
      </w:pPr>
      <w:r>
        <w:t xml:space="preserve">Также отмечаем, что в соответствии с </w:t>
      </w:r>
      <w:r w:rsidRPr="002A75EA">
        <w:t>частью 4 статьи 34</w:t>
      </w:r>
      <w:r>
        <w:t xml:space="preserve"> Закона №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173D7C" w:rsidRDefault="00173D7C" w:rsidP="00173D7C">
      <w:pPr>
        <w:ind w:firstLine="540"/>
        <w:jc w:val="both"/>
        <w:rPr>
          <w:rFonts w:ascii="Verdana" w:hAnsi="Verdana"/>
          <w:sz w:val="21"/>
          <w:szCs w:val="21"/>
        </w:rPr>
      </w:pPr>
      <w:r>
        <w:t xml:space="preserve">Согласно </w:t>
      </w:r>
      <w:r w:rsidRPr="002A75EA">
        <w:t>части 7 статьи 34</w:t>
      </w:r>
      <w:r>
        <w:t xml:space="preserve"> Закона № 44-ФЗ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173D7C" w:rsidRDefault="00173D7C" w:rsidP="00173D7C">
      <w:pPr>
        <w:ind w:firstLine="540"/>
        <w:jc w:val="both"/>
        <w:rPr>
          <w:rFonts w:ascii="Verdana" w:hAnsi="Verdana"/>
          <w:sz w:val="21"/>
          <w:szCs w:val="21"/>
        </w:rPr>
      </w:pPr>
      <w:r>
        <w:t xml:space="preserve">В соответствии с </w:t>
      </w:r>
      <w:r w:rsidRPr="002A75EA">
        <w:t>частью 8 статьи 34</w:t>
      </w:r>
      <w:r>
        <w:t xml:space="preserve"> Закона № 44-ФЗ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173D7C" w:rsidRDefault="00173D7C" w:rsidP="00173D7C">
      <w:pPr>
        <w:ind w:firstLine="540"/>
        <w:jc w:val="both"/>
        <w:rPr>
          <w:rFonts w:ascii="Verdana" w:hAnsi="Verdana"/>
          <w:sz w:val="21"/>
          <w:szCs w:val="21"/>
        </w:rPr>
      </w:pPr>
      <w:r>
        <w:t>Таким образом, в случае несвоевременного исполнения поставщиком (подрядчиком, исполнителем) обязательств, предусмотренных контрактом, заказчик начисляет штраф за ненадлежащее исполнение условий контракта и пени за каждый день просрочки исполнения обязательств, предусмотренных контрактом.</w:t>
      </w:r>
    </w:p>
    <w:p w:rsidR="00173D7C" w:rsidRDefault="00173D7C" w:rsidP="00173D7C">
      <w:pPr>
        <w:ind w:firstLine="540"/>
        <w:jc w:val="both"/>
        <w:rPr>
          <w:rFonts w:ascii="Verdana" w:hAnsi="Verdana"/>
          <w:sz w:val="21"/>
          <w:szCs w:val="21"/>
        </w:rPr>
      </w:pPr>
      <w:r>
        <w:t xml:space="preserve">Также отмечаем, что, по мнению Департамента, целесообразно устанавливать в проекте контракта все возможные размеры штрафа, предусмотренные порядком, указанным в </w:t>
      </w:r>
      <w:r w:rsidRPr="002A75EA">
        <w:t>части 8 статьи 34</w:t>
      </w:r>
      <w:r>
        <w:t xml:space="preserve"> Закона № 44-ФЗ.</w:t>
      </w:r>
    </w:p>
    <w:p w:rsidR="00173D7C" w:rsidRDefault="00173D7C" w:rsidP="00173D7C">
      <w:pPr>
        <w:rPr>
          <w:rFonts w:ascii="Verdana" w:hAnsi="Verdana"/>
          <w:sz w:val="21"/>
          <w:szCs w:val="21"/>
        </w:rPr>
      </w:pPr>
      <w:r>
        <w:t> </w:t>
      </w:r>
    </w:p>
    <w:p w:rsidR="00173D7C" w:rsidRDefault="00173D7C" w:rsidP="00173D7C">
      <w:pPr>
        <w:jc w:val="right"/>
        <w:rPr>
          <w:rFonts w:ascii="Verdana" w:hAnsi="Verdana"/>
          <w:sz w:val="21"/>
          <w:szCs w:val="21"/>
        </w:rPr>
      </w:pPr>
      <w:r>
        <w:t>Заместитель директора Департамента</w:t>
      </w:r>
    </w:p>
    <w:p w:rsidR="00173D7C" w:rsidRDefault="00173D7C" w:rsidP="00173D7C">
      <w:pPr>
        <w:jc w:val="right"/>
        <w:rPr>
          <w:rFonts w:ascii="Verdana" w:hAnsi="Verdana"/>
          <w:sz w:val="21"/>
          <w:szCs w:val="21"/>
        </w:rPr>
      </w:pPr>
      <w:r>
        <w:t>Д.А.ГОТОВЦЕВ</w:t>
      </w:r>
    </w:p>
    <w:p w:rsidR="00173D7C" w:rsidRDefault="00173D7C" w:rsidP="00173D7C">
      <w:pPr>
        <w:rPr>
          <w:rFonts w:ascii="Verdana" w:hAnsi="Verdana"/>
          <w:sz w:val="21"/>
          <w:szCs w:val="21"/>
        </w:rPr>
      </w:pPr>
      <w:r>
        <w:t>01.10.2020</w:t>
      </w:r>
    </w:p>
    <w:p w:rsidR="001873E7" w:rsidRDefault="001873E7">
      <w:bookmarkStart w:id="0" w:name="_GoBack"/>
      <w:bookmarkEnd w:id="0"/>
    </w:p>
    <w:sectPr w:rsidR="001873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D7C"/>
    <w:rsid w:val="00173D7C"/>
    <w:rsid w:val="00187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524EA-72A9-445F-94B6-383B8ADD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D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953</Words>
  <Characters>5434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2021-06-17T10:11:00Z</dcterms:created>
  <dcterms:modified xsi:type="dcterms:W3CDTF">2021-06-17T10:14:00Z</dcterms:modified>
</cp:coreProperties>
</file>