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F9" w:rsidRPr="007B1AF9" w:rsidRDefault="007B1AF9" w:rsidP="007B1AF9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7B1A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СТРОИТЕЛЬСТВА И ЖИЛИЩНО-КОММУНАЛЬНОГО</w:t>
      </w:r>
    </w:p>
    <w:p w:rsidR="007B1AF9" w:rsidRPr="007B1AF9" w:rsidRDefault="007B1AF9" w:rsidP="007B1AF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1A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ХОЗЯЙСТВА РОССИЙСКОЙ ФЕДЕРАЦИИ</w:t>
      </w:r>
    </w:p>
    <w:p w:rsidR="007B1AF9" w:rsidRPr="007B1AF9" w:rsidRDefault="007B1AF9" w:rsidP="007B1AF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1A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B1AF9" w:rsidRPr="007B1AF9" w:rsidRDefault="007B1AF9" w:rsidP="007B1AF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2"/>
      <w:bookmarkEnd w:id="1"/>
      <w:r w:rsidRPr="007B1A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B1AF9" w:rsidRPr="007B1AF9" w:rsidRDefault="007B1AF9" w:rsidP="007B1AF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1A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11 июля 2020 г. № 26654-ИТ/09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B1AF9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dst100003"/>
      <w:bookmarkEnd w:id="2"/>
      <w:r w:rsidRPr="007B1AF9">
        <w:rPr>
          <w:rFonts w:ascii="Arial" w:eastAsia="Times New Roman" w:hAnsi="Arial" w:cs="Arial"/>
          <w:sz w:val="26"/>
          <w:szCs w:val="26"/>
          <w:lang w:eastAsia="ru-RU"/>
        </w:rPr>
        <w:t>Департамент ценообразования и градостроительного зонирования Министерства строительства и жилищно-коммунального хозяйства Российской Федерации (далее - Департамент) рассмотрел обращение и в рамках компетенции сообщает следующее.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4"/>
      <w:bookmarkEnd w:id="3"/>
      <w:r w:rsidRPr="007B1AF9">
        <w:rPr>
          <w:rFonts w:ascii="Arial" w:eastAsia="Times New Roman" w:hAnsi="Arial" w:cs="Arial"/>
          <w:sz w:val="26"/>
          <w:szCs w:val="26"/>
          <w:lang w:eastAsia="ru-RU"/>
        </w:rPr>
        <w:t>В соответствии с Положением 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 ноября 2013 г. №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том числе в сфере строительства (включая вопросы применения в строительстве материалов, изделий и конструкций), архитектуры, градостроительства (за исключением территориального планирования), нормирования и ценообразования при проектировании и строительстве.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5"/>
      <w:bookmarkEnd w:id="4"/>
      <w:r w:rsidRPr="007B1AF9">
        <w:rPr>
          <w:rFonts w:ascii="Arial" w:eastAsia="Times New Roman" w:hAnsi="Arial" w:cs="Arial"/>
          <w:sz w:val="26"/>
          <w:szCs w:val="26"/>
          <w:lang w:eastAsia="ru-RU"/>
        </w:rPr>
        <w:t>При этом в соответствии с пунктом 1 Положения о Министерстве финансов Российской Федерации, утвержденного постановлением Правительства Российской Федерации от 30 июня 2004 г.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нужд.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6"/>
      <w:bookmarkEnd w:id="5"/>
      <w:r w:rsidRPr="007B1AF9">
        <w:rPr>
          <w:rFonts w:ascii="Arial" w:eastAsia="Times New Roman" w:hAnsi="Arial" w:cs="Arial"/>
          <w:sz w:val="26"/>
          <w:szCs w:val="26"/>
          <w:lang w:eastAsia="ru-RU"/>
        </w:rPr>
        <w:t>Однако по затронутому в обращении вопросу Департамент считает возможным в рамках компетенции отметить следующее.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7"/>
      <w:bookmarkEnd w:id="6"/>
      <w:r w:rsidRPr="007B1AF9">
        <w:rPr>
          <w:rFonts w:ascii="Arial" w:eastAsia="Times New Roman" w:hAnsi="Arial" w:cs="Arial"/>
          <w:sz w:val="26"/>
          <w:szCs w:val="26"/>
          <w:lang w:eastAsia="ru-RU"/>
        </w:rPr>
        <w:t>Все строения, сооружения относятся либо к объектам капитального строительства, либо к некапитальным строениям, сооружениям. Тем самым соответствующие виды работ дифференцируются исходя из того, является ли объект объектом капитального строительства или относится к некапитальным строениям, сооружениям, что определяется в соответствии с градостроительным законодательством.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08"/>
      <w:bookmarkEnd w:id="7"/>
      <w:r w:rsidRPr="007B1AF9">
        <w:rPr>
          <w:rFonts w:ascii="Arial" w:eastAsia="Times New Roman" w:hAnsi="Arial" w:cs="Arial"/>
          <w:sz w:val="26"/>
          <w:szCs w:val="26"/>
          <w:lang w:eastAsia="ru-RU"/>
        </w:rPr>
        <w:t>Так, в соответствии с пунктом 10.2 статьи 1 Градостроительного кодекса Российской Федерации (далее - Кодекс)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09"/>
      <w:bookmarkEnd w:id="8"/>
      <w:r w:rsidRPr="007B1AF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соответствии с пунктом 10 статьи 1 Кодекса объектом капитального строительства является здание, строение, сооружение, объекты, строительство которых не завершено (объекты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0"/>
      <w:bookmarkEnd w:id="9"/>
      <w:r w:rsidRPr="007B1AF9">
        <w:rPr>
          <w:rFonts w:ascii="Arial" w:eastAsia="Times New Roman" w:hAnsi="Arial" w:cs="Arial"/>
          <w:sz w:val="26"/>
          <w:szCs w:val="26"/>
          <w:lang w:eastAsia="ru-RU"/>
        </w:rPr>
        <w:t xml:space="preserve">Таким образом, основными критериями капитальности или </w:t>
      </w:r>
      <w:proofErr w:type="spellStart"/>
      <w:r w:rsidRPr="007B1AF9">
        <w:rPr>
          <w:rFonts w:ascii="Arial" w:eastAsia="Times New Roman" w:hAnsi="Arial" w:cs="Arial"/>
          <w:sz w:val="26"/>
          <w:szCs w:val="26"/>
          <w:lang w:eastAsia="ru-RU"/>
        </w:rPr>
        <w:t>некапитальности</w:t>
      </w:r>
      <w:proofErr w:type="spellEnd"/>
      <w:r w:rsidRPr="007B1AF9">
        <w:rPr>
          <w:rFonts w:ascii="Arial" w:eastAsia="Times New Roman" w:hAnsi="Arial" w:cs="Arial"/>
          <w:sz w:val="26"/>
          <w:szCs w:val="26"/>
          <w:lang w:eastAsia="ru-RU"/>
        </w:rPr>
        <w:t xml:space="preserve"> объекта строительства, реконструкции, ремонта, сноса является наличие или отсутствие у него прочных связей с землей, возможность осуществления его перемещение и (или) демонтаж и последующую сборку без несоразмерного ущерба назначению и без изменения основных характеристик.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1"/>
      <w:bookmarkEnd w:id="10"/>
      <w:r w:rsidRPr="007B1AF9">
        <w:rPr>
          <w:rFonts w:ascii="Arial" w:eastAsia="Times New Roman" w:hAnsi="Arial" w:cs="Arial"/>
          <w:sz w:val="26"/>
          <w:szCs w:val="26"/>
          <w:lang w:eastAsia="ru-RU"/>
        </w:rPr>
        <w:t>Определения понятий строительства, реконструкции, капитального ремонта и сноса объектов капитального строительства содержатся в пунктах 13 - 14.4 статьи 1 Кодекса.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dst100012"/>
      <w:bookmarkEnd w:id="11"/>
      <w:r w:rsidRPr="007B1AF9">
        <w:rPr>
          <w:rFonts w:ascii="Arial" w:eastAsia="Times New Roman" w:hAnsi="Arial" w:cs="Arial"/>
          <w:sz w:val="26"/>
          <w:szCs w:val="26"/>
          <w:lang w:eastAsia="ru-RU"/>
        </w:rPr>
        <w:t>Согласно пункту 8 части 1 статьи 33 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 документация о закупке при осуществлении закупки работ по строительству, реконструкции, капитальному ремонту, сносу объекта капитального строительства должна содержать проектную документацию, утвержденную в порядке, установленном законодательством о градостроительной деятельности, за исключением случая, если подготовка проектной документации в соответствии с указанным законодательством не требуется, а также случаев осуществления закупки в соответствии с частями 16 и 16.1 статьи 34 Федерального закона № 44-ФЗ, при которых предметом контракта является в том числе проектирование объекта капитального строительства. Включение проектной документации в документацию о закупке в соответствии с настоящим пунктом является надлежащим исполнением требований пунктов 1 - 3 части 1 статьи 33 Федерального закона № 44-ФЗ.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dst100013"/>
      <w:bookmarkEnd w:id="12"/>
      <w:r w:rsidRPr="007B1AF9">
        <w:rPr>
          <w:rFonts w:ascii="Arial" w:eastAsia="Times New Roman" w:hAnsi="Arial" w:cs="Arial"/>
          <w:sz w:val="26"/>
          <w:szCs w:val="26"/>
          <w:lang w:eastAsia="ru-RU"/>
        </w:rPr>
        <w:t>В соответствии с частью 6 статьи 110.2 Федерального закона № 44-ФЗ объем, содержание работ по контрактам, предметом которых являются строительство, реконструкция объектов капитального строительства, определяются проектной документацией объектов капитального строительства, а также иной технической документацией, предусмотренной такими контрактами. При этом выполнение работ по таким контрактам осуществляется в соответствии с графиком выполнения строительно-монтажных работ, являющимся обязательным приложением к таким контрактам.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dst100014"/>
      <w:bookmarkEnd w:id="13"/>
      <w:r w:rsidRPr="007B1AF9">
        <w:rPr>
          <w:rFonts w:ascii="Arial" w:eastAsia="Times New Roman" w:hAnsi="Arial" w:cs="Arial"/>
          <w:sz w:val="26"/>
          <w:szCs w:val="26"/>
          <w:lang w:eastAsia="ru-RU"/>
        </w:rPr>
        <w:t>Разработка проектной документации осуществляется в соответствии с Положением 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№ 87 (далее - Положение № 87), и национальными и межгосударственными стандартами "Система проектной документации для строительства".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dst100015"/>
      <w:bookmarkEnd w:id="14"/>
      <w:r w:rsidRPr="007B1AF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Согласно пункту 10.1 Кодекса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dst100016"/>
      <w:bookmarkEnd w:id="15"/>
      <w:r w:rsidRPr="007B1AF9">
        <w:rPr>
          <w:rFonts w:ascii="Arial" w:eastAsia="Times New Roman" w:hAnsi="Arial" w:cs="Arial"/>
          <w:sz w:val="26"/>
          <w:szCs w:val="26"/>
          <w:lang w:eastAsia="ru-RU"/>
        </w:rPr>
        <w:t>В соответствии с подпунктом "в" пункта 2 Положения № 87 к линейным объектам относятся трубопроводы, автомобильные и железные дороги, линии электропередачи и другие.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6" w:name="dst100017"/>
      <w:bookmarkEnd w:id="16"/>
      <w:r w:rsidRPr="007B1AF9">
        <w:rPr>
          <w:rFonts w:ascii="Arial" w:eastAsia="Times New Roman" w:hAnsi="Arial" w:cs="Arial"/>
          <w:sz w:val="26"/>
          <w:szCs w:val="26"/>
          <w:lang w:eastAsia="ru-RU"/>
        </w:rPr>
        <w:t>Дополнительно Департамент сообщает, что согласно Положению о Министерстве строительства и жилищно-коммунального хозяйства Российской Федерации, утвержденному постановлением Правительства Российской Федерации от 18 ноября 2013 г. № 1038, Минстрой России не наделен полномочиями по разъяснению практики применения законодательства Российской Федерации для каждого конкретного случая.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7" w:name="dst100018"/>
      <w:bookmarkEnd w:id="17"/>
      <w:r w:rsidRPr="007B1AF9">
        <w:rPr>
          <w:rFonts w:ascii="Arial" w:eastAsia="Times New Roman" w:hAnsi="Arial" w:cs="Arial"/>
          <w:sz w:val="26"/>
          <w:szCs w:val="26"/>
          <w:lang w:eastAsia="ru-RU"/>
        </w:rPr>
        <w:t>Дополнительно сообщается, что письма Минстроя России,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правил, конкретизирующих нормативные предписания и не направлены на установление, изменение или отмену правовых норм, не являются нормативными правовыми актами вне зависимости от того, дано ли разъяснение конкретному заявителю либо неопределенному кругу лиц, а также не подлежат подготовке и регистрации в соответствии с Правилами подготовки нормативных правовых актов федеральных органов исполнительной власти и их государственной регистрации, установленными постановлением Правительства Российской Федерации от 13 августа 1997 г. № 1009.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8" w:name="dst100019"/>
      <w:bookmarkEnd w:id="18"/>
      <w:r w:rsidRPr="007B1AF9">
        <w:rPr>
          <w:rFonts w:ascii="Arial" w:eastAsia="Times New Roman" w:hAnsi="Arial" w:cs="Arial"/>
          <w:sz w:val="26"/>
          <w:szCs w:val="26"/>
          <w:lang w:eastAsia="ru-RU"/>
        </w:rPr>
        <w:t>Таким образом, разъяснения Минстроя России, его структурных подразделений и подведомственных ему организаций не отвечают критериям нормативного правового акта, а 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отличающемся от трактовки, изложенной в письмах.</w:t>
      </w:r>
    </w:p>
    <w:p w:rsidR="007B1AF9" w:rsidRPr="007B1AF9" w:rsidRDefault="007B1AF9" w:rsidP="007B1AF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B1AF9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7B1AF9" w:rsidRPr="007B1AF9" w:rsidRDefault="007B1AF9" w:rsidP="007B1AF9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19" w:name="dst100020"/>
      <w:bookmarkEnd w:id="19"/>
      <w:r w:rsidRPr="007B1AF9">
        <w:rPr>
          <w:rFonts w:ascii="Arial" w:eastAsia="Times New Roman" w:hAnsi="Arial" w:cs="Arial"/>
          <w:sz w:val="26"/>
          <w:szCs w:val="26"/>
          <w:lang w:eastAsia="ru-RU"/>
        </w:rPr>
        <w:t>Директор</w:t>
      </w:r>
    </w:p>
    <w:p w:rsidR="007B1AF9" w:rsidRPr="007B1AF9" w:rsidRDefault="007B1AF9" w:rsidP="007B1AF9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7B1AF9">
        <w:rPr>
          <w:rFonts w:ascii="Arial" w:eastAsia="Times New Roman" w:hAnsi="Arial" w:cs="Arial"/>
          <w:sz w:val="26"/>
          <w:szCs w:val="26"/>
          <w:lang w:eastAsia="ru-RU"/>
        </w:rPr>
        <w:t>Департамента ценообразования</w:t>
      </w:r>
    </w:p>
    <w:p w:rsidR="007B1AF9" w:rsidRPr="007B1AF9" w:rsidRDefault="007B1AF9" w:rsidP="007B1AF9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7B1AF9">
        <w:rPr>
          <w:rFonts w:ascii="Arial" w:eastAsia="Times New Roman" w:hAnsi="Arial" w:cs="Arial"/>
          <w:sz w:val="26"/>
          <w:szCs w:val="26"/>
          <w:lang w:eastAsia="ru-RU"/>
        </w:rPr>
        <w:t>и градостроительного зонирования</w:t>
      </w:r>
    </w:p>
    <w:p w:rsidR="007B1AF9" w:rsidRPr="007B1AF9" w:rsidRDefault="007B1AF9" w:rsidP="007B1AF9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7B1AF9">
        <w:rPr>
          <w:rFonts w:ascii="Arial" w:eastAsia="Times New Roman" w:hAnsi="Arial" w:cs="Arial"/>
          <w:sz w:val="26"/>
          <w:szCs w:val="26"/>
          <w:lang w:eastAsia="ru-RU"/>
        </w:rPr>
        <w:t>И.В.ТЮТЬМИНА</w:t>
      </w:r>
    </w:p>
    <w:bookmarkEnd w:id="0"/>
    <w:p w:rsidR="00523FA5" w:rsidRPr="007B1AF9" w:rsidRDefault="00523FA5"/>
    <w:sectPr w:rsidR="00523FA5" w:rsidRPr="007B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F9"/>
    <w:rsid w:val="00523FA5"/>
    <w:rsid w:val="007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CAC51-6740-45B1-BEE2-7F23CC7E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2021-07-07T10:04:00Z</dcterms:created>
  <dcterms:modified xsi:type="dcterms:W3CDTF">2021-07-07T10:11:00Z</dcterms:modified>
</cp:coreProperties>
</file>