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E17" w:rsidRDefault="004F7E17" w:rsidP="004F7E17">
      <w:pPr>
        <w:rPr>
          <w:rStyle w:val="blk"/>
          <w:rFonts w:ascii="Arial" w:hAnsi="Arial" w:cs="Arial"/>
          <w:b/>
          <w:bCs/>
          <w:color w:val="000000"/>
          <w:sz w:val="30"/>
          <w:szCs w:val="30"/>
        </w:rPr>
      </w:pPr>
    </w:p>
    <w:p w:rsidR="004F7E17" w:rsidRDefault="004F7E17" w:rsidP="004F7E17">
      <w:pPr>
        <w:shd w:val="clear" w:color="auto" w:fill="FFFFFF"/>
        <w:spacing w:line="450" w:lineRule="atLeast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Style w:val="blk"/>
          <w:rFonts w:ascii="Arial" w:hAnsi="Arial" w:cs="Arial"/>
          <w:b/>
          <w:bCs/>
          <w:color w:val="000000"/>
          <w:sz w:val="30"/>
          <w:szCs w:val="30"/>
        </w:rPr>
        <w:t>МИНИСТЕРСТВО ФИНАНСОВ РОССИЙСКОЙ ФЕДЕРАЦИИ</w:t>
      </w:r>
    </w:p>
    <w:p w:rsidR="004F7E17" w:rsidRDefault="004F7E17" w:rsidP="004F7E17">
      <w:pPr>
        <w:shd w:val="clear" w:color="auto" w:fill="FFFFFF"/>
        <w:spacing w:line="450" w:lineRule="atLeast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Style w:val="nobr"/>
          <w:rFonts w:ascii="Arial" w:hAnsi="Arial" w:cs="Arial"/>
          <w:b/>
          <w:bCs/>
          <w:color w:val="000000"/>
          <w:sz w:val="30"/>
          <w:szCs w:val="30"/>
        </w:rPr>
        <w:t> </w:t>
      </w:r>
    </w:p>
    <w:p w:rsidR="004F7E17" w:rsidRDefault="004F7E17" w:rsidP="004F7E17">
      <w:pPr>
        <w:shd w:val="clear" w:color="auto" w:fill="FFFFFF"/>
        <w:spacing w:line="450" w:lineRule="atLeast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Style w:val="blk"/>
          <w:rFonts w:ascii="Arial" w:hAnsi="Arial" w:cs="Arial"/>
          <w:b/>
          <w:bCs/>
          <w:color w:val="000000"/>
          <w:sz w:val="30"/>
          <w:szCs w:val="30"/>
        </w:rPr>
        <w:t>ПИСЬМО</w:t>
      </w:r>
    </w:p>
    <w:p w:rsidR="004F7E17" w:rsidRDefault="004F7E17" w:rsidP="004F7E17">
      <w:pPr>
        <w:shd w:val="clear" w:color="auto" w:fill="FFFFFF"/>
        <w:spacing w:line="450" w:lineRule="atLeast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Style w:val="blk"/>
          <w:rFonts w:ascii="Arial" w:hAnsi="Arial" w:cs="Arial"/>
          <w:b/>
          <w:bCs/>
          <w:color w:val="000000"/>
          <w:sz w:val="30"/>
          <w:szCs w:val="30"/>
        </w:rPr>
        <w:t>от 20 августа 2020 г. № 24-06-08/73330</w:t>
      </w:r>
    </w:p>
    <w:p w:rsidR="004F7E17" w:rsidRDefault="004F7E17" w:rsidP="004F7E17">
      <w:pPr>
        <w:shd w:val="clear" w:color="auto" w:fill="FFFFFF"/>
        <w:spacing w:line="288" w:lineRule="atLeast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Style w:val="nobr"/>
          <w:color w:val="000000"/>
          <w:sz w:val="30"/>
          <w:szCs w:val="30"/>
        </w:rPr>
        <w:t> </w:t>
      </w:r>
    </w:p>
    <w:p w:rsidR="004F7E17" w:rsidRDefault="004F7E17" w:rsidP="004F7E17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Департамент бюджетной политики в сфере контрактной системы Минфина России (далее - Департамент), рассмотрев обращение ПАО (исх. от 20.06.2020), а также обращение ПАО, направленное письмом от 06.07.2020, по вопросу о применении позиций каталога товаров, работ, услуг для обеспечения государственных и муниципальных нужд, соответствующих кодам Общероссийского классификатора продукции по видам экономической деятельности ОК 034-2014 (КПЕС 2008) </w:t>
      </w:r>
      <w:r w:rsidRPr="004F7E17">
        <w:rPr>
          <w:sz w:val="30"/>
          <w:szCs w:val="30"/>
        </w:rPr>
        <w:t>61</w:t>
      </w:r>
      <w:bookmarkStart w:id="0" w:name="_GoBack"/>
      <w:bookmarkEnd w:id="0"/>
      <w:r w:rsidRPr="004F7E17">
        <w:rPr>
          <w:sz w:val="30"/>
          <w:szCs w:val="30"/>
        </w:rPr>
        <w:t>.10</w:t>
      </w:r>
      <w:r>
        <w:rPr>
          <w:rStyle w:val="blk"/>
          <w:color w:val="000000"/>
          <w:sz w:val="30"/>
          <w:szCs w:val="30"/>
        </w:rPr>
        <w:t>, </w:t>
      </w:r>
      <w:r w:rsidRPr="004F7E17">
        <w:rPr>
          <w:sz w:val="30"/>
          <w:szCs w:val="30"/>
        </w:rPr>
        <w:t>61.20</w:t>
      </w:r>
      <w:r>
        <w:rPr>
          <w:rStyle w:val="blk"/>
          <w:color w:val="000000"/>
          <w:sz w:val="30"/>
          <w:szCs w:val="30"/>
        </w:rPr>
        <w:t>, </w:t>
      </w:r>
      <w:r w:rsidRPr="004F7E17">
        <w:rPr>
          <w:sz w:val="30"/>
          <w:szCs w:val="30"/>
        </w:rPr>
        <w:t>61.90</w:t>
      </w:r>
      <w:r>
        <w:rPr>
          <w:rStyle w:val="blk"/>
          <w:color w:val="000000"/>
          <w:sz w:val="30"/>
          <w:szCs w:val="30"/>
        </w:rPr>
        <w:t> (далее - Каталог), сообщает следующее.</w:t>
      </w:r>
    </w:p>
    <w:p w:rsidR="004F7E17" w:rsidRDefault="004F7E17" w:rsidP="004F7E17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Минфин России в соответствии с </w:t>
      </w:r>
      <w:r w:rsidRPr="004F7E17">
        <w:rPr>
          <w:sz w:val="30"/>
          <w:szCs w:val="30"/>
        </w:rPr>
        <w:t>пунктом 1</w:t>
      </w:r>
      <w:r>
        <w:rPr>
          <w:rStyle w:val="blk"/>
          <w:color w:val="000000"/>
          <w:sz w:val="30"/>
          <w:szCs w:val="30"/>
        </w:rPr>
        <w:t> Положения о Министерстве финансов Российской Федерации, утвержденного постановлением Правительства Российской Федерации от 30.06.2004 № 329, </w:t>
      </w:r>
      <w:r w:rsidRPr="004F7E17">
        <w:rPr>
          <w:sz w:val="30"/>
          <w:szCs w:val="30"/>
        </w:rPr>
        <w:t>пунктом 1</w:t>
      </w:r>
      <w:r>
        <w:rPr>
          <w:rStyle w:val="blk"/>
          <w:color w:val="000000"/>
          <w:sz w:val="30"/>
          <w:szCs w:val="30"/>
        </w:rPr>
        <w:t> постановления Правительства Российской Федерации от 26.08.2013 № 728, </w:t>
      </w:r>
      <w:r w:rsidRPr="004F7E17">
        <w:rPr>
          <w:sz w:val="30"/>
          <w:szCs w:val="30"/>
        </w:rPr>
        <w:t>пунктом 11.8</w:t>
      </w:r>
      <w:r>
        <w:rPr>
          <w:rStyle w:val="blk"/>
          <w:color w:val="000000"/>
          <w:sz w:val="30"/>
          <w:szCs w:val="30"/>
        </w:rPr>
        <w:t> Регламента Министерства финансов Российской Федерации, утвержденного приказом Минфина России от 14.09.2018 № 194н (зарегистрирован в Минюсте России 10.10.2018 № 52385), не наделен полномочиями по разъяснению законодательства Российской Федерации, практики его применения, по толкованию норм, терминов и понятий, не рассматривает по существу обращения организаций по проведению экспертиз договоров, учредительных и иных документов организаций, а также по оценке конкретных хозяйственных ситуаций.</w:t>
      </w:r>
    </w:p>
    <w:p w:rsidR="004F7E17" w:rsidRDefault="004F7E17" w:rsidP="004F7E17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Вместе с тем Департамент считает возможным сообщить следующее.</w:t>
      </w:r>
    </w:p>
    <w:p w:rsidR="004F7E17" w:rsidRDefault="004F7E17" w:rsidP="004F7E17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Положениями </w:t>
      </w:r>
      <w:r w:rsidRPr="004F7E17">
        <w:rPr>
          <w:sz w:val="30"/>
          <w:szCs w:val="30"/>
        </w:rPr>
        <w:t>пункта 2</w:t>
      </w:r>
      <w:r>
        <w:rPr>
          <w:rStyle w:val="blk"/>
          <w:color w:val="000000"/>
          <w:sz w:val="30"/>
          <w:szCs w:val="30"/>
        </w:rPr>
        <w:t xml:space="preserve"> Правил использования каталога товаров, работ, услуг для обеспечения государственных и муниципальных нужд, утвержденных постановлением Правительства Российской Федерации от 08.02.2017 № 145 "Об утверждении Правил формирования и ведения в единой информационной системе в сфере закупок каталога товаров, </w:t>
      </w:r>
      <w:r>
        <w:rPr>
          <w:rStyle w:val="blk"/>
          <w:color w:val="000000"/>
          <w:sz w:val="30"/>
          <w:szCs w:val="30"/>
        </w:rPr>
        <w:lastRenderedPageBreak/>
        <w:t>работ, услуг для обеспечения государственных и муниципальных нужд и Правил использования каталога товаров, работ, услуг для обеспечения государственных и муниципальных нужд", требование о применении Каталога в документе о приемке не установлено.</w:t>
      </w:r>
    </w:p>
    <w:p w:rsidR="004F7E17" w:rsidRDefault="004F7E17" w:rsidP="004F7E17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Кроме того, </w:t>
      </w:r>
      <w:r w:rsidRPr="004F7E17">
        <w:rPr>
          <w:sz w:val="30"/>
          <w:szCs w:val="30"/>
        </w:rPr>
        <w:t>пунктом 36</w:t>
      </w:r>
      <w:r>
        <w:rPr>
          <w:rStyle w:val="blk"/>
          <w:color w:val="000000"/>
          <w:sz w:val="30"/>
          <w:szCs w:val="30"/>
        </w:rPr>
        <w:t> Порядка формирования информации, а также обмена информацией и документами между заказчиком и Федеральным казначейством в целях ведения реестра контрактов, заключенных заказчиками, утвержденного приказом Минфина России от 19.07.2019 № 113н, применение Каталога при формировании информации об исполнении контракта (отдельного этапа исполнения контракта), в том числе информации о стоимости исполненных обязательств (об оплате контракта, отдельного этапа исполнения контракта), также не предусмотрено.</w:t>
      </w:r>
    </w:p>
    <w:p w:rsidR="004F7E17" w:rsidRDefault="004F7E17" w:rsidP="004F7E17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Таким образом, в настоящее время заказчик не ограничен в возможности использования в документе о приемке единиц измерения, отличных от включенных в позицию Каталога.</w:t>
      </w:r>
    </w:p>
    <w:p w:rsidR="004F7E17" w:rsidRDefault="004F7E17" w:rsidP="004F7E17">
      <w:pPr>
        <w:shd w:val="clear" w:color="auto" w:fill="FFFFFF"/>
        <w:spacing w:line="288" w:lineRule="atLeast"/>
        <w:jc w:val="both"/>
        <w:rPr>
          <w:color w:val="000000"/>
          <w:sz w:val="30"/>
          <w:szCs w:val="30"/>
        </w:rPr>
      </w:pPr>
      <w:r>
        <w:rPr>
          <w:rStyle w:val="nobr"/>
          <w:color w:val="000000"/>
          <w:sz w:val="30"/>
          <w:szCs w:val="30"/>
        </w:rPr>
        <w:t> </w:t>
      </w:r>
    </w:p>
    <w:p w:rsidR="004F7E17" w:rsidRDefault="004F7E17" w:rsidP="004F7E17">
      <w:pPr>
        <w:shd w:val="clear" w:color="auto" w:fill="FFFFFF"/>
        <w:spacing w:line="288" w:lineRule="atLeast"/>
        <w:jc w:val="right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Заместитель директора Департамента</w:t>
      </w:r>
    </w:p>
    <w:p w:rsidR="004F7E17" w:rsidRDefault="004F7E17" w:rsidP="004F7E17">
      <w:pPr>
        <w:shd w:val="clear" w:color="auto" w:fill="FFFFFF"/>
        <w:spacing w:line="288" w:lineRule="atLeast"/>
        <w:jc w:val="right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А.В.ГРИНЕНКО</w:t>
      </w:r>
    </w:p>
    <w:p w:rsidR="004F7E17" w:rsidRDefault="004F7E17" w:rsidP="004F7E17">
      <w:pPr>
        <w:shd w:val="clear" w:color="auto" w:fill="FFFFFF"/>
        <w:spacing w:line="288" w:lineRule="atLeast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20.08.2020</w:t>
      </w:r>
    </w:p>
    <w:p w:rsidR="005347AF" w:rsidRDefault="005347AF"/>
    <w:sectPr w:rsidR="005347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E17"/>
    <w:rsid w:val="004F7E17"/>
    <w:rsid w:val="00534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99A2F3-8D11-42E5-808C-2BF655751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F7E17"/>
    <w:rPr>
      <w:color w:val="0000FF"/>
      <w:u w:val="single"/>
    </w:rPr>
  </w:style>
  <w:style w:type="character" w:customStyle="1" w:styleId="blk">
    <w:name w:val="blk"/>
    <w:basedOn w:val="a0"/>
    <w:rsid w:val="004F7E17"/>
  </w:style>
  <w:style w:type="character" w:customStyle="1" w:styleId="nobr">
    <w:name w:val="nobr"/>
    <w:basedOn w:val="a0"/>
    <w:rsid w:val="004F7E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2021-07-13T06:55:00Z</dcterms:created>
  <dcterms:modified xsi:type="dcterms:W3CDTF">2021-07-13T06:57:00Z</dcterms:modified>
</cp:coreProperties>
</file>