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C9E" w:rsidRDefault="005B4C9E" w:rsidP="005B4C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5B4C9E" w:rsidRDefault="005B4C9E" w:rsidP="005B4C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5B4C9E" w:rsidRDefault="005B4C9E" w:rsidP="005B4C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5B4C9E" w:rsidRDefault="005B4C9E" w:rsidP="005B4C9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29 июня 2020 г. № 24-03-07/55769</w:t>
      </w:r>
    </w:p>
    <w:p w:rsidR="005B4C9E" w:rsidRDefault="005B4C9E" w:rsidP="005B4C9E">
      <w:pPr>
        <w:rPr>
          <w:rFonts w:ascii="Times New Roman" w:hAnsi="Times New Roman" w:cs="Times New Roman"/>
        </w:rPr>
      </w:pPr>
      <w:r>
        <w:t> </w:t>
      </w:r>
    </w:p>
    <w:p w:rsidR="005B4C9E" w:rsidRDefault="005B4C9E" w:rsidP="005B4C9E">
      <w:pPr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r w:rsidRPr="005B4C9E">
        <w:t>закона</w:t>
      </w:r>
      <w:r>
        <w:t xml:space="preserve"> от 5 апреля 2013 г. № 44-ФЗ "О контрактной системе в сфере закупок товаров, работ, услуг для обеспечения государственных и муниципальных нужд" (далее - Закон № 44-ФЗ) в части содержания первой части заявки, сообщает следующее.</w:t>
      </w:r>
    </w:p>
    <w:p w:rsidR="005B4C9E" w:rsidRDefault="005B4C9E" w:rsidP="005B4C9E">
      <w:pPr>
        <w:ind w:firstLine="540"/>
        <w:jc w:val="both"/>
      </w:pPr>
      <w:r>
        <w:t xml:space="preserve">В соответствии с </w:t>
      </w:r>
      <w:r w:rsidRPr="005B4C9E">
        <w:t>пунктом 11.8</w:t>
      </w:r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№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5B4C9E" w:rsidRDefault="005B4C9E" w:rsidP="005B4C9E">
      <w:pPr>
        <w:ind w:firstLine="540"/>
        <w:jc w:val="both"/>
      </w:pPr>
      <w:r>
        <w:t xml:space="preserve">Согласно </w:t>
      </w:r>
      <w:r w:rsidRPr="005B4C9E">
        <w:t>пункту 2</w:t>
      </w:r>
      <w:r>
        <w:t xml:space="preserve"> Правил подготовки нормативных правовых актов федеральных органов исполнительной власти и их государственной регистрации, утвержденных постановлением Правительства Российской Федерации от 13 августа 1997 г. № 1009, письма федеральных органов исполнительной власти не являются нормативными правовыми актами.</w:t>
      </w:r>
    </w:p>
    <w:p w:rsidR="005B4C9E" w:rsidRDefault="005B4C9E" w:rsidP="005B4C9E">
      <w:pPr>
        <w:ind w:firstLine="540"/>
        <w:jc w:val="both"/>
      </w:pPr>
      <w:r>
        <w:t>В этой связи следует учитывать, что письма Минфина России и его структурных подразделений не содержат правовых норм, не направлены на установление, изменение или отмену таких норм, а содержащаяся в них позиция является мнением ведомства и не может рассматриваться в качестве общеобязательных государственных предписаний постоянного или временного характера.</w:t>
      </w:r>
    </w:p>
    <w:p w:rsidR="005B4C9E" w:rsidRDefault="005B4C9E" w:rsidP="005B4C9E">
      <w:pPr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5B4C9E" w:rsidRDefault="005B4C9E" w:rsidP="005B4C9E">
      <w:pPr>
        <w:ind w:firstLine="540"/>
        <w:jc w:val="both"/>
      </w:pPr>
      <w:r>
        <w:t>Вместе с тем Департамент считает возможным сообщить следующее.</w:t>
      </w:r>
    </w:p>
    <w:p w:rsidR="005B4C9E" w:rsidRDefault="005B4C9E" w:rsidP="005B4C9E">
      <w:pPr>
        <w:ind w:firstLine="540"/>
        <w:jc w:val="both"/>
      </w:pPr>
      <w:r>
        <w:t xml:space="preserve">В соответствии с </w:t>
      </w:r>
      <w:r w:rsidRPr="005B4C9E">
        <w:t>подпунктом "б" пункта 2 части 3 статьи 66</w:t>
      </w:r>
      <w:r>
        <w:t xml:space="preserve"> Закона № 44-ФЗ при осуществлении закупки товаров, в том числе поставляемого заказчику при выполнении закупаемых работ, оказании закупаемых услуг, первая часть заявки на участие в электронном аукционе, за исключением случая, предусмотренного </w:t>
      </w:r>
      <w:r w:rsidRPr="005B4C9E">
        <w:t>частью 3.1 указанной статьи</w:t>
      </w:r>
      <w:r>
        <w:t>, должна содержать конкретные показатели товара, соответствующие значениям, установленным в документации об электронном аукционе, и указание на товарный знак (при наличии). Информация, предусмотренная настоящим подпунктом,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случае, если участник закупки предлагает товар, который обозначен товарным знаком, отличным от товарного знака, указанного в документации об электронном аукционе.</w:t>
      </w:r>
    </w:p>
    <w:p w:rsidR="005B4C9E" w:rsidRDefault="005B4C9E" w:rsidP="005B4C9E">
      <w:pPr>
        <w:ind w:firstLine="540"/>
        <w:jc w:val="both"/>
      </w:pPr>
      <w:r>
        <w:lastRenderedPageBreak/>
        <w:t>Таким образом, информация о конкретных показателях товара предоставляется участником закупки в первой части заявки только в случае, если условиями контракта предусмотрена поставка товара, в том числе при выполнении закупаемых работ, оказании закупаемых услуг.</w:t>
      </w:r>
    </w:p>
    <w:p w:rsidR="005B4C9E" w:rsidRDefault="005B4C9E" w:rsidP="005B4C9E">
      <w:pPr>
        <w:ind w:firstLine="540"/>
        <w:jc w:val="both"/>
      </w:pPr>
      <w:r>
        <w:t xml:space="preserve">При этом согласно </w:t>
      </w:r>
      <w:r w:rsidRPr="005B4C9E">
        <w:t>части 3.1 статьи 66</w:t>
      </w:r>
      <w:r>
        <w:t xml:space="preserve"> Закона № 44-ФЗ первая часть заявки на участие в электронном аукционе в случае включения в документацию о закупке в соответствии с </w:t>
      </w:r>
      <w:r w:rsidRPr="005B4C9E">
        <w:t>пунктом 8 части 1 статьи 33</w:t>
      </w:r>
      <w:r>
        <w:t xml:space="preserve"> указанного Федерального закона проектной документации должна содержать исключительно согласие</w:t>
      </w:r>
      <w:bookmarkStart w:id="0" w:name="_GoBack"/>
      <w:bookmarkEnd w:id="0"/>
      <w:r>
        <w:t xml:space="preserve"> участника закупки на выполнение работ на условиях, предусмотренных документацией об электронном аукционе (такое согласие дается с использованием программно-аппаратных средств электронной площадки).</w:t>
      </w:r>
    </w:p>
    <w:p w:rsidR="005B4C9E" w:rsidRDefault="005B4C9E" w:rsidP="005B4C9E">
      <w:r>
        <w:t> </w:t>
      </w:r>
    </w:p>
    <w:p w:rsidR="005B4C9E" w:rsidRDefault="005B4C9E" w:rsidP="005B4C9E">
      <w:pPr>
        <w:jc w:val="right"/>
      </w:pPr>
      <w:r>
        <w:t>Заместитель директора Департамента</w:t>
      </w:r>
    </w:p>
    <w:p w:rsidR="005B4C9E" w:rsidRDefault="005B4C9E" w:rsidP="005B4C9E">
      <w:pPr>
        <w:jc w:val="right"/>
      </w:pPr>
      <w:r>
        <w:t>Д.А.ГОТОВЦЕВ</w:t>
      </w:r>
    </w:p>
    <w:p w:rsidR="005B4C9E" w:rsidRDefault="005B4C9E" w:rsidP="005B4C9E">
      <w:r>
        <w:t>29.06.2020</w:t>
      </w:r>
    </w:p>
    <w:p w:rsidR="005B4C9E" w:rsidRDefault="005B4C9E" w:rsidP="005B4C9E">
      <w:r>
        <w:t> </w:t>
      </w:r>
    </w:p>
    <w:p w:rsidR="005B4C9E" w:rsidRDefault="005B4C9E" w:rsidP="005B4C9E">
      <w:pPr>
        <w:shd w:val="clear" w:color="auto" w:fill="FFFFFF"/>
        <w:spacing w:beforeAutospacing="1" w:afterAutospacing="1"/>
        <w:rPr>
          <w:rFonts w:ascii="PT Sans" w:hAnsi="PT Sans"/>
          <w:color w:val="000000"/>
        </w:rPr>
      </w:pPr>
    </w:p>
    <w:p w:rsidR="007A6835" w:rsidRPr="005B4C9E" w:rsidRDefault="007A6835" w:rsidP="005B4C9E"/>
    <w:sectPr w:rsidR="007A6835" w:rsidRPr="005B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03E17"/>
    <w:multiLevelType w:val="multilevel"/>
    <w:tmpl w:val="81145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C9E"/>
    <w:rsid w:val="005B4C9E"/>
    <w:rsid w:val="007A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D140D-D026-406F-968A-C80FE795F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9E"/>
    <w:rPr>
      <w:color w:val="0000FF"/>
      <w:u w:val="single"/>
    </w:rPr>
  </w:style>
  <w:style w:type="paragraph" w:customStyle="1" w:styleId="search-resultstext">
    <w:name w:val="search-results__text"/>
    <w:basedOn w:val="a"/>
    <w:rsid w:val="005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5B4C9E"/>
  </w:style>
  <w:style w:type="character" w:customStyle="1" w:styleId="b">
    <w:name w:val="b"/>
    <w:basedOn w:val="a0"/>
    <w:rsid w:val="005B4C9E"/>
  </w:style>
  <w:style w:type="paragraph" w:customStyle="1" w:styleId="search-resultslink-inherit">
    <w:name w:val="search-results__link-inherit"/>
    <w:basedOn w:val="a"/>
    <w:rsid w:val="005B4C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5B4C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2021-07-20T10:25:00Z</dcterms:created>
  <dcterms:modified xsi:type="dcterms:W3CDTF">2021-07-20T10:28:00Z</dcterms:modified>
</cp:coreProperties>
</file>