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9D" w:rsidRDefault="00063B9D" w:rsidP="00063B9D">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063B9D" w:rsidRDefault="00063B9D" w:rsidP="00063B9D">
      <w:pPr>
        <w:jc w:val="center"/>
        <w:rPr>
          <w:rFonts w:ascii="Arial" w:hAnsi="Arial" w:cs="Arial"/>
          <w:b/>
          <w:bCs/>
        </w:rPr>
      </w:pPr>
      <w:r>
        <w:rPr>
          <w:rFonts w:ascii="Arial" w:hAnsi="Arial" w:cs="Arial"/>
          <w:b/>
          <w:bCs/>
        </w:rPr>
        <w:t> </w:t>
      </w:r>
    </w:p>
    <w:p w:rsidR="00063B9D" w:rsidRDefault="00063B9D" w:rsidP="00063B9D">
      <w:pPr>
        <w:jc w:val="center"/>
        <w:rPr>
          <w:rFonts w:ascii="Arial" w:hAnsi="Arial" w:cs="Arial"/>
          <w:b/>
          <w:bCs/>
        </w:rPr>
      </w:pPr>
      <w:r>
        <w:rPr>
          <w:rFonts w:ascii="Arial" w:hAnsi="Arial" w:cs="Arial"/>
          <w:b/>
          <w:bCs/>
        </w:rPr>
        <w:t>ПИСЬМО</w:t>
      </w:r>
    </w:p>
    <w:p w:rsidR="00063B9D" w:rsidRDefault="00063B9D" w:rsidP="00063B9D">
      <w:pPr>
        <w:jc w:val="center"/>
        <w:rPr>
          <w:rFonts w:ascii="Arial" w:hAnsi="Arial" w:cs="Arial"/>
          <w:b/>
          <w:bCs/>
        </w:rPr>
      </w:pPr>
      <w:r>
        <w:rPr>
          <w:rFonts w:ascii="Arial" w:hAnsi="Arial" w:cs="Arial"/>
          <w:b/>
          <w:bCs/>
        </w:rPr>
        <w:t>от 30 апреля 2020 г. № 24-01-06/35515</w:t>
      </w:r>
    </w:p>
    <w:p w:rsidR="00063B9D" w:rsidRDefault="00063B9D" w:rsidP="00063B9D">
      <w:pPr>
        <w:rPr>
          <w:rFonts w:ascii="Times New Roman" w:hAnsi="Times New Roman" w:cs="Times New Roman"/>
        </w:rPr>
      </w:pPr>
      <w:r>
        <w:t> </w:t>
      </w:r>
    </w:p>
    <w:p w:rsidR="00063B9D" w:rsidRDefault="00063B9D" w:rsidP="00063B9D">
      <w:pPr>
        <w:ind w:firstLine="540"/>
        <w:jc w:val="both"/>
      </w:pPr>
      <w:r>
        <w:t>Департамент бюджетной политики в сфере контрактной системы Минфина России (далее - Департамент), рассмотрев обращение от 24.03.2020 по вопросу порядка оплаты контракта на выполнение строительных работ при изменении проектной документации, сообщает следующее.</w:t>
      </w:r>
    </w:p>
    <w:p w:rsidR="00063B9D" w:rsidRDefault="00063B9D" w:rsidP="00063B9D">
      <w:pPr>
        <w:ind w:firstLine="540"/>
        <w:jc w:val="both"/>
      </w:pPr>
      <w:r>
        <w:t xml:space="preserve">Согласно </w:t>
      </w:r>
      <w:r w:rsidRPr="00063B9D">
        <w:t>части 1 статьи 34</w:t>
      </w:r>
      <w: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63B9D" w:rsidRDefault="00063B9D" w:rsidP="00063B9D">
      <w:pPr>
        <w:ind w:firstLine="540"/>
        <w:jc w:val="both"/>
      </w:pPr>
      <w:r w:rsidRPr="00063B9D">
        <w:t>Частью 2 статьи 34</w:t>
      </w:r>
      <w:r>
        <w:t xml:space="preserve"> Закона № 44-ФЗ установлено, что при заключении и исполнении контракта изменение его условий не допускается, за исключением случаев, предусмотренных </w:t>
      </w:r>
      <w:r w:rsidRPr="00063B9D">
        <w:t>статьями 34</w:t>
      </w:r>
      <w:r>
        <w:t xml:space="preserve"> и </w:t>
      </w:r>
      <w:r w:rsidRPr="00063B9D">
        <w:t>95</w:t>
      </w:r>
      <w:r>
        <w:t xml:space="preserve"> Закона № 44-ФЗ.</w:t>
      </w:r>
    </w:p>
    <w:p w:rsidR="00063B9D" w:rsidRDefault="00063B9D" w:rsidP="00063B9D">
      <w:pPr>
        <w:ind w:firstLine="540"/>
        <w:jc w:val="both"/>
      </w:pPr>
      <w:r>
        <w:t xml:space="preserve">В соответствии с </w:t>
      </w:r>
      <w:r w:rsidRPr="00063B9D">
        <w:t>пунктом 8 части 1 статьи 95</w:t>
      </w:r>
      <w:r>
        <w:t xml:space="preserve"> Закона № 44-ФЗ изменение существенных условий контракта при его исполнении возможно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063B9D" w:rsidRDefault="00063B9D" w:rsidP="00063B9D">
      <w:pPr>
        <w:ind w:firstLine="540"/>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063B9D" w:rsidRDefault="00063B9D" w:rsidP="00063B9D">
      <w:pPr>
        <w:ind w:firstLine="540"/>
        <w:jc w:val="both"/>
      </w:pPr>
      <w:r>
        <w:t>Указанные положения распространяются в том числе на контракты, заключенные до 1 июля 2019 года.</w:t>
      </w:r>
    </w:p>
    <w:p w:rsidR="00063B9D" w:rsidRDefault="00063B9D" w:rsidP="00063B9D">
      <w:pPr>
        <w:ind w:firstLine="540"/>
        <w:jc w:val="both"/>
      </w:pPr>
      <w:r>
        <w:t xml:space="preserve">При этом согласно </w:t>
      </w:r>
      <w:r w:rsidRPr="00063B9D">
        <w:t>пункту 2 статьи 72</w:t>
      </w:r>
      <w: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063B9D" w:rsidRDefault="00063B9D" w:rsidP="00063B9D">
      <w:pPr>
        <w:ind w:firstLine="540"/>
        <w:jc w:val="both"/>
      </w:pPr>
      <w:r>
        <w:t xml:space="preserve">Таким образом, изменение существенных условий контракта при его исполнении, в том числе в связи с внесением изменений в проектную документацию, возможно в порядке, предусмотренном </w:t>
      </w:r>
      <w:r w:rsidRPr="00063B9D">
        <w:t>статьей 95</w:t>
      </w:r>
      <w:r>
        <w:t xml:space="preserve"> Закона № 44-ФЗ, и при наличии лимитов бюджетных обязательств.</w:t>
      </w:r>
    </w:p>
    <w:p w:rsidR="00063B9D" w:rsidRDefault="00063B9D" w:rsidP="00063B9D">
      <w:pPr>
        <w:ind w:firstLine="540"/>
        <w:jc w:val="both"/>
      </w:pPr>
      <w:r>
        <w:t>Дополнительно отмечаем, что приказом Минстроя России от 23.12.2019 № 841/</w:t>
      </w:r>
      <w:proofErr w:type="spellStart"/>
      <w:r>
        <w:t>пр</w:t>
      </w:r>
      <w:proofErr w:type="spellEnd"/>
      <w:r>
        <w:t xml:space="preserve"> утверждены </w:t>
      </w:r>
      <w:r w:rsidRPr="00063B9D">
        <w:t>Порядок</w:t>
      </w:r>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w:t>
      </w:r>
      <w:r w:rsidRPr="00063B9D">
        <w:t>Методика</w:t>
      </w:r>
      <w:r>
        <w:t xml:space="preserve"> составления сметы контракта, предметом которого являются строительство, реконструкция объектов капитального строительства (далее - Методика), которая определяет общие правила составления сметы указанного контракта при его заключении и внесении изменений в такой контракт в соответствии с законодательством Российской Федерации о контрактной системе.</w:t>
      </w:r>
    </w:p>
    <w:p w:rsidR="00063B9D" w:rsidRDefault="00063B9D" w:rsidP="00063B9D">
      <w:pPr>
        <w:ind w:firstLine="540"/>
        <w:jc w:val="both"/>
      </w:pPr>
      <w:r>
        <w:t xml:space="preserve">Согласно </w:t>
      </w:r>
      <w:r w:rsidRPr="00063B9D">
        <w:t>пункту 8</w:t>
      </w:r>
      <w:r>
        <w:t xml:space="preserve"> Методики внесение изменений в смету контракта осуществляется в соответствии с </w:t>
      </w:r>
      <w:r w:rsidRPr="00063B9D">
        <w:t>пунктами 9</w:t>
      </w:r>
      <w:r>
        <w:t xml:space="preserve">, </w:t>
      </w:r>
      <w:r w:rsidRPr="00063B9D">
        <w:t>10</w:t>
      </w:r>
      <w:r>
        <w:t xml:space="preserve">, </w:t>
      </w:r>
      <w:r w:rsidRPr="00063B9D">
        <w:t>11</w:t>
      </w:r>
      <w:r>
        <w:t xml:space="preserve"> и </w:t>
      </w:r>
      <w:r w:rsidRPr="00063B9D">
        <w:t>12</w:t>
      </w:r>
      <w:r>
        <w:t xml:space="preserve"> Методики в случаях, установленных </w:t>
      </w:r>
      <w:r w:rsidRPr="00063B9D">
        <w:t>Законом</w:t>
      </w:r>
      <w:r>
        <w:t xml:space="preserve"> № 44-ФЗ.</w:t>
      </w:r>
    </w:p>
    <w:p w:rsidR="00063B9D" w:rsidRDefault="00063B9D" w:rsidP="00063B9D">
      <w:pPr>
        <w:ind w:firstLine="540"/>
        <w:jc w:val="both"/>
      </w:pPr>
      <w:r>
        <w:t xml:space="preserve">Так, </w:t>
      </w:r>
      <w:r w:rsidRPr="00063B9D">
        <w:t>пунктом 9</w:t>
      </w:r>
      <w:r>
        <w:t xml:space="preserve"> Методики предусмотрено, что в случае внесения изменений в проектную документацию, влекущих изменение объемов работ конструктивного решения (элемента), комплекса (вида) работ, предусмотренных сметой контракта, общая стоимость соответствующего конструктивного решения (элемента), комплекса (вида) работ определяется исходя из установленной в смете контракта цены единицы измерения данного конструктивного решения (элемента), комплекса (вида) работ с учетом изменения объемов работ.</w:t>
      </w:r>
    </w:p>
    <w:p w:rsidR="00063B9D" w:rsidRDefault="00063B9D" w:rsidP="00063B9D">
      <w:pPr>
        <w:ind w:firstLine="540"/>
        <w:jc w:val="both"/>
      </w:pPr>
      <w:r>
        <w:t xml:space="preserve">При этом в соответствии с </w:t>
      </w:r>
      <w:r w:rsidRPr="00063B9D">
        <w:t>пунктом 10</w:t>
      </w:r>
      <w:r>
        <w:t xml:space="preserve"> Методики в случае внесения изменений в проектную документацию в связи с включением в нее ранее не предусмотренных такой проектной документацией видов работ и (или) затрат цена таких работ, затрат определяется с использованием соответствующих сметных нормативов и сметных цен, а также методических и других документов в сфере ценообразования и сметного нормирования в области градостроительной деятельности, применяемых с учетом положений </w:t>
      </w:r>
      <w:r w:rsidRPr="00063B9D">
        <w:t>статьи 3</w:t>
      </w:r>
      <w:r>
        <w:t xml:space="preserve"> Федерального закона от 26.07.2017 №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 учетом затрат, включенных в состав цены конструктивных решений (элементов), комплексов (видов) работ, по формуле, указанной в данном </w:t>
      </w:r>
      <w:r w:rsidRPr="00063B9D">
        <w:t>пункте</w:t>
      </w:r>
      <w:r>
        <w:t>.</w:t>
      </w:r>
    </w:p>
    <w:p w:rsidR="00063B9D" w:rsidRDefault="00063B9D" w:rsidP="00063B9D">
      <w:pPr>
        <w:ind w:firstLine="540"/>
        <w:jc w:val="both"/>
      </w:pPr>
      <w:r>
        <w:t xml:space="preserve">Таким образом, внесение изменений в смету контракта осуществляется в соответствии с </w:t>
      </w:r>
      <w:r w:rsidRPr="00063B9D">
        <w:t>Методикой</w:t>
      </w:r>
      <w:r>
        <w:t>.</w:t>
      </w:r>
    </w:p>
    <w:p w:rsidR="00063B9D" w:rsidRDefault="00063B9D" w:rsidP="00063B9D">
      <w:pPr>
        <w:ind w:firstLine="540"/>
        <w:jc w:val="both"/>
      </w:pPr>
      <w:r>
        <w:t xml:space="preserve">Дополнительно отмечаем, что в соответствии с </w:t>
      </w:r>
      <w:r w:rsidRPr="00063B9D">
        <w:t>пунктом 7</w:t>
      </w:r>
      <w:r>
        <w:t xml:space="preserve"> Методики смета контракта является основанием для формирования первичных учетных документов, предусмотренных законодательством Российской Федерации о бухгалтерском и налоговом учете, в том числе используемых для расчетов между заказчиком и подрядчиком за выполненные работы, а также при проверке выполненных работ контролирующими органами.</w:t>
      </w:r>
    </w:p>
    <w:p w:rsidR="00063B9D" w:rsidRDefault="00063B9D" w:rsidP="00063B9D">
      <w:r>
        <w:t> </w:t>
      </w:r>
    </w:p>
    <w:p w:rsidR="00063B9D" w:rsidRDefault="00063B9D" w:rsidP="00063B9D">
      <w:pPr>
        <w:jc w:val="right"/>
      </w:pPr>
      <w:r>
        <w:t>Заместитель директора Департамента</w:t>
      </w:r>
    </w:p>
    <w:p w:rsidR="00063B9D" w:rsidRDefault="00063B9D" w:rsidP="00063B9D">
      <w:pPr>
        <w:jc w:val="right"/>
      </w:pPr>
      <w:r>
        <w:t>Д.А.ГОТОВЦЕВ</w:t>
      </w:r>
    </w:p>
    <w:p w:rsidR="00063B9D" w:rsidRDefault="00063B9D" w:rsidP="00063B9D">
      <w:r>
        <w:t>30.04.2020</w:t>
      </w:r>
    </w:p>
    <w:p w:rsidR="004A4A68" w:rsidRDefault="004A4A68"/>
    <w:sectPr w:rsidR="004A4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F26A5"/>
    <w:multiLevelType w:val="multilevel"/>
    <w:tmpl w:val="7ED40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B9D"/>
    <w:rsid w:val="00063B9D"/>
    <w:rsid w:val="004A4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01FB2-0E46-447A-A421-F3984C59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B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B9D"/>
    <w:rPr>
      <w:color w:val="0000FF"/>
      <w:u w:val="single"/>
    </w:rPr>
  </w:style>
  <w:style w:type="paragraph" w:customStyle="1" w:styleId="search-resultstext">
    <w:name w:val="search-results__text"/>
    <w:basedOn w:val="a"/>
    <w:rsid w:val="00063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63B9D"/>
  </w:style>
  <w:style w:type="character" w:customStyle="1" w:styleId="b">
    <w:name w:val="b"/>
    <w:basedOn w:val="a0"/>
    <w:rsid w:val="00063B9D"/>
  </w:style>
  <w:style w:type="paragraph" w:customStyle="1" w:styleId="search-resultslink-inherit">
    <w:name w:val="search-results__link-inherit"/>
    <w:basedOn w:val="a"/>
    <w:rsid w:val="00063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06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2021-08-03T03:46:00Z</dcterms:created>
  <dcterms:modified xsi:type="dcterms:W3CDTF">2021-08-03T03:51:00Z</dcterms:modified>
</cp:coreProperties>
</file>