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AD" w:rsidRPr="006713AD" w:rsidRDefault="006713AD" w:rsidP="006713AD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6713AD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 xml:space="preserve">ПИСЬМО МИНИСТЕРСТВА СТРОИТЕЛЬСТВА И ЖИЛИЩНО-КОММУНАЛЬНОГО ХОЗЯЙСТВА РФ ОТ 27 ОКТЯБРЯ 2021 Г. </w:t>
      </w:r>
      <w:r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№</w:t>
      </w:r>
      <w:r w:rsidRPr="006713AD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 xml:space="preserve"> 46579-СИ/06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Министерство строительства и жилищно-коммунального хозяйства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Российской Федерации в связи с изданием Указа Президента Российской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Федерации от 20 октября 2021 г. № 595 "Об установлении на территории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Российской Федерации нерабочих дней в октябре - ноябре 2021 г." (далее -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Указ) сообщает следующее.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В соответствии с пунктом 1 Указа дни с 30 октября по 7 ноября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2021 года являются нерабочими днями.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Положением о привлечении специализированной некоммерческой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организацией, осуществляющей деятельность, направленную на обеспечение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проведения капитального ремонта общего имущества в многоквартирных домах,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подрядных организаций для оказания услуг и (или) выполнения работ по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капитальному ремонту общего имущества в многоквартирном доме,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утвержденным постановлением Правительства Российской Федерации от 1 июля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2016 г. № 615 (далее - Положение), установлены различные требования к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исчислению сроков осуществления различных действий, в том числе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требования к осуществлению отдельных действий исключительно в рабочие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дни.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В частности, в ходе предварительного отбора в рабочих днях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исчисляются (определяются): сроки уведомления о месте, дате и времени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проведения заседания комиссии (пункт 16 Положения); сроки внесения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изменений в извещение о проведении предварительного отбора и (или) 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документацию о его проведении (пункт 21 Положения); сроки размещения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разъяснений документации о проведении предварительного отбора (пункт 35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Положения); сроки размещения протокола по проведению предварительного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отбора (пункт 55 Положения); сроки размещения информации, предусмотренной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пунктом 63 Положения, после подписания протокола комиссии по проведению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предварительного отбора (пункт 65 Положения).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В ходе осуществления закупок региональным оператором капитального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ремонта в рабочих днях исчисляются (определяются): сроки внесении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изменений в извещение о проведении электронного аукциона и (или) 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документацию об электронном аукционе (пункт 130 Положения); сроки отказа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проведения электронного аукциона (пункт 133 Положения); сроки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размещения разъяснений положений документации об электронном аукционе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(пункт 141 Положения); срок рассмотрения заявок на участие в электронном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аукционе (пункт 156); дата проведения электронного аукциона (пункт 171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Положения); сроки направления договора по результатам электронного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аукциона (пункты 165, 185, 187, 189 Положения).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Согласно статье 193 Гражданского кодекса Российской Федерации, если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последний день срока приходится на нерабочий день, днем окончания срока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считается ближайший следующий за ним рабочий день. Аналогичные положения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предусмотрены статьей 14 Трудового кодекса Российской Федерации.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Учитывая изложенное, в отношении осуществления закупок региональным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оператором капитального ремонта пункт 1 Указа применяется следующим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образом: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1) даты проведения электронных аукционов в соответствии с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Положением, приходящиеся на нерабочие дни, в том числе определенные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пунктом 1 Указа, переносятся на ближайший рабочий день, но не ранее срока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рассмотрения (с учетом указанного в пункте 2 действия в ближайший рабочий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день) заявок на участие в электронном аукционе. Такой перенос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осуществляется операторами электронных площадок автоматически (с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использованием электронных площадок) без дополнительных действий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заказчиков;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2) иные предусмотренные Положением сроки (в том числе сроки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рассмотрения заявок, сроки направления договора), истекающие в нерабочие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дни, в том числе определенные пунктом 1 Указа, учитывая положения статьи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193 Гражданского кодекса Российской Федерации, оканчиваются в ближайший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следующий за ними рабочий день, в связи с чем действия, подлежащие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совершению, могут быть осуществлены как в нерабочие дни, так и 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ближайший рабочий день.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В части применения положений пункта 1 Указа к закупкам товаров,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работ, услуг в целях выполнения функций регионального оператора,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осуществляющихся путем использования способов определения поставщиков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(подрядчиков, исполнителей), предусмотренных Федеральным законом от 5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апреля 2013 г. № 44-ФЗ "О контрактной системе в сфере закупок товаров,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работ, услуг для обеспечения государственных и муниципальных нужд",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рекомендуем руководствоваться разъяснениями Минфина России от 25 октября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2021 г. № 24-03-05/86049.</w:t>
      </w: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713AD" w:rsidRPr="006713AD" w:rsidRDefault="006713AD" w:rsidP="006713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Pr="006713A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С.В. Иванова</w:t>
      </w:r>
    </w:p>
    <w:p w:rsidR="00A14133" w:rsidRDefault="00A14133"/>
    <w:sectPr w:rsidR="00A1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AD"/>
    <w:rsid w:val="006713AD"/>
    <w:rsid w:val="00A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9122-68F0-4B92-9D47-278493D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1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3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2021-10-28T11:16:00Z</dcterms:created>
  <dcterms:modified xsi:type="dcterms:W3CDTF">2021-10-28T11:23:00Z</dcterms:modified>
</cp:coreProperties>
</file>