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B2" w:rsidRDefault="005543B2" w:rsidP="005543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543B2" w:rsidRDefault="005543B2" w:rsidP="005543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543B2" w:rsidRDefault="005543B2" w:rsidP="005543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543B2" w:rsidRDefault="005543B2" w:rsidP="005543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июля 2020 г. № 24-03-06/60075</w:t>
      </w:r>
    </w:p>
    <w:p w:rsidR="005543B2" w:rsidRDefault="005543B2" w:rsidP="005543B2">
      <w:pPr>
        <w:rPr>
          <w:rFonts w:ascii="Times New Roman" w:hAnsi="Times New Roman" w:cs="Times New Roman"/>
        </w:rPr>
      </w:pPr>
      <w:r>
        <w:t> </w:t>
      </w:r>
    </w:p>
    <w:p w:rsidR="005543B2" w:rsidRDefault="005543B2" w:rsidP="005543B2">
      <w:pPr>
        <w:jc w:val="both"/>
      </w:pPr>
      <w:r>
        <w:t>Д</w:t>
      </w:r>
      <w:bookmarkStart w:id="0" w:name="_GoBack"/>
      <w:r>
        <w:t>епартамент бюджетной политики в сфере контрактной системы Минфина России (далее - Департамент), рассмотрев обращение по вопросам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права заказчика установить требование об обеспечении гарантийных обязательств, сообщает следующее.</w:t>
      </w:r>
    </w:p>
    <w:p w:rsidR="005543B2" w:rsidRDefault="005543B2" w:rsidP="005543B2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543B2" w:rsidRDefault="005543B2" w:rsidP="005543B2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543B2" w:rsidRDefault="005543B2" w:rsidP="005543B2">
      <w:pPr>
        <w:jc w:val="both"/>
      </w:pPr>
      <w:r>
        <w:t>Вместе с тем считаем необходимым отметить следующее.</w:t>
      </w:r>
    </w:p>
    <w:p w:rsidR="005543B2" w:rsidRDefault="005543B2" w:rsidP="005543B2">
      <w:pPr>
        <w:jc w:val="both"/>
      </w:pPr>
      <w:r>
        <w:t xml:space="preserve">Подпунктами "а", "б" пункта 6 статьи 2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предусмотрено внесение изменений в статью 96 Закона № 44-ФЗ, вступающих в силу с 1 июля 2020 года.</w:t>
      </w:r>
    </w:p>
    <w:p w:rsidR="005543B2" w:rsidRDefault="005543B2" w:rsidP="005543B2">
      <w:pPr>
        <w:jc w:val="both"/>
      </w:pPr>
      <w:r>
        <w:t>Так, в соответствии с частью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5543B2" w:rsidRDefault="005543B2" w:rsidP="005543B2">
      <w:pPr>
        <w:jc w:val="both"/>
      </w:pPr>
      <w:r>
        <w:t>Согласно части 2.2 статьи 96 Закона № 44-ФЗ заказчик вправе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Закона № 44-ФЗ. Размер обеспечения гарантийных обязательств не может превышать десять процентов от начальной (максимальной) цены контракта.</w:t>
      </w:r>
    </w:p>
    <w:p w:rsidR="005543B2" w:rsidRDefault="005543B2" w:rsidP="005543B2">
      <w:pPr>
        <w:jc w:val="both"/>
      </w:pPr>
      <w:r>
        <w:t>Учитывая изложенное, в случае заключения контракта с единственным поставщиком (подрядчиком, исполнителем) по основаниям, предусмотренным частью 1 статьи 93 Закона № 44-ФЗ, заказчик вправе установить требование об обеспечении гарантийных обязательств в случае установления требований к таким обязательствам в соответствии с частью 4 статьи 33 Закона № 44-ФЗ. </w:t>
      </w:r>
    </w:p>
    <w:bookmarkEnd w:id="0"/>
    <w:p w:rsidR="005543B2" w:rsidRDefault="005543B2" w:rsidP="005543B2">
      <w:pPr>
        <w:jc w:val="right"/>
      </w:pPr>
      <w:r>
        <w:lastRenderedPageBreak/>
        <w:t>Заместитель директора Департамента</w:t>
      </w:r>
    </w:p>
    <w:p w:rsidR="005543B2" w:rsidRDefault="005543B2" w:rsidP="005543B2">
      <w:pPr>
        <w:jc w:val="right"/>
      </w:pPr>
      <w:r>
        <w:t>Д.А.ГОТОВЦЕВ</w:t>
      </w:r>
    </w:p>
    <w:p w:rsidR="005543B2" w:rsidRDefault="005543B2" w:rsidP="005543B2">
      <w:r>
        <w:t>10.07.2020</w:t>
      </w:r>
    </w:p>
    <w:p w:rsidR="00171326" w:rsidRDefault="00171326"/>
    <w:sectPr w:rsidR="0017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2"/>
    <w:rsid w:val="00171326"/>
    <w:rsid w:val="005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A849-2BEA-431C-9699-9A967C0C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3B2"/>
    <w:rPr>
      <w:color w:val="0000FF"/>
      <w:u w:val="single"/>
    </w:rPr>
  </w:style>
  <w:style w:type="character" w:customStyle="1" w:styleId="blk">
    <w:name w:val="blk"/>
    <w:basedOn w:val="a0"/>
    <w:rsid w:val="0055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2021-11-24T09:21:00Z</dcterms:created>
  <dcterms:modified xsi:type="dcterms:W3CDTF">2021-11-24T09:24:00Z</dcterms:modified>
</cp:coreProperties>
</file>