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0F0" w:rsidRDefault="00A860F0" w:rsidP="00A860F0">
      <w:pPr>
        <w:rPr>
          <w:rFonts w:ascii="Arial" w:hAnsi="Arial" w:cs="Arial"/>
          <w:b/>
          <w:bCs/>
        </w:rPr>
      </w:pPr>
      <w:r>
        <w:t> </w:t>
      </w:r>
      <w:r>
        <w:t xml:space="preserve">                       </w:t>
      </w:r>
      <w:r>
        <w:rPr>
          <w:rFonts w:ascii="Arial" w:hAnsi="Arial" w:cs="Arial"/>
          <w:b/>
          <w:bCs/>
        </w:rPr>
        <w:t>МИНИСТЕРСТВО ФИНАНСОВ РОССИЙСКОЙ ФЕДЕРАЦИИ</w:t>
      </w:r>
    </w:p>
    <w:p w:rsidR="00A860F0" w:rsidRDefault="00A860F0" w:rsidP="00A860F0">
      <w:pPr>
        <w:jc w:val="center"/>
        <w:rPr>
          <w:rFonts w:ascii="Arial" w:hAnsi="Arial" w:cs="Arial"/>
          <w:b/>
          <w:bCs/>
        </w:rPr>
      </w:pPr>
      <w:r>
        <w:rPr>
          <w:rFonts w:ascii="Arial" w:hAnsi="Arial" w:cs="Arial"/>
          <w:b/>
          <w:bCs/>
        </w:rPr>
        <w:t> </w:t>
      </w:r>
    </w:p>
    <w:p w:rsidR="00A860F0" w:rsidRDefault="00A860F0" w:rsidP="00A860F0">
      <w:pPr>
        <w:jc w:val="center"/>
        <w:rPr>
          <w:rFonts w:ascii="Arial" w:hAnsi="Arial" w:cs="Arial"/>
          <w:b/>
          <w:bCs/>
        </w:rPr>
      </w:pPr>
      <w:r>
        <w:rPr>
          <w:rFonts w:ascii="Arial" w:hAnsi="Arial" w:cs="Arial"/>
          <w:b/>
          <w:bCs/>
        </w:rPr>
        <w:t>ПИСЬМО</w:t>
      </w:r>
    </w:p>
    <w:p w:rsidR="00A860F0" w:rsidRDefault="00A860F0" w:rsidP="00A860F0">
      <w:pPr>
        <w:jc w:val="center"/>
        <w:rPr>
          <w:rFonts w:ascii="Arial" w:hAnsi="Arial" w:cs="Arial"/>
          <w:b/>
          <w:bCs/>
        </w:rPr>
      </w:pPr>
      <w:r>
        <w:rPr>
          <w:rFonts w:ascii="Arial" w:hAnsi="Arial" w:cs="Arial"/>
          <w:b/>
          <w:bCs/>
        </w:rPr>
        <w:t>от 7 июля 2020 г. № 24-05-07/58645</w:t>
      </w:r>
    </w:p>
    <w:p w:rsidR="00A860F0" w:rsidRDefault="00A860F0" w:rsidP="00A860F0">
      <w:pPr>
        <w:rPr>
          <w:rFonts w:ascii="Times New Roman" w:hAnsi="Times New Roman" w:cs="Times New Roman"/>
        </w:rPr>
      </w:pPr>
      <w:r>
        <w:t> </w:t>
      </w:r>
    </w:p>
    <w:p w:rsidR="00A860F0" w:rsidRDefault="00A860F0" w:rsidP="00A860F0">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09.06.2020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подачи вторых частей заявок на участие в электронном аукционе, в рамках компетенции сообщает следующее.</w:t>
      </w:r>
    </w:p>
    <w:p w:rsidR="00A860F0" w:rsidRDefault="00A860F0" w:rsidP="00A860F0">
      <w:pPr>
        <w:jc w:val="both"/>
      </w:pPr>
      <w:r>
        <w:t>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A860F0" w:rsidRDefault="00A860F0" w:rsidP="00A860F0">
      <w:pPr>
        <w:jc w:val="both"/>
      </w:pPr>
      <w:r>
        <w:t>При этом 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A860F0" w:rsidRDefault="00A860F0" w:rsidP="00A860F0">
      <w:pPr>
        <w:jc w:val="both"/>
      </w:pPr>
      <w:r>
        <w:t>Вместе с тем Департамент считает возможным сообщить, что согласно пункту 4 части 5 статьи 66 Закона № 44-ФЗ вторая часть заявки на участие в электронном аукционе должна содержать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860F0" w:rsidRDefault="00A860F0" w:rsidP="00A860F0">
      <w:pPr>
        <w:jc w:val="both"/>
      </w:pPr>
      <w:r>
        <w:t>При этом Закон № 44-ФЗ не устанавливает требований к содержанию, форме и нотариальному заверению решения об одобрении крупной сделки.</w:t>
      </w:r>
    </w:p>
    <w:p w:rsidR="00A860F0" w:rsidRDefault="00A860F0" w:rsidP="00A860F0">
      <w:pPr>
        <w:jc w:val="both"/>
      </w:pPr>
      <w:r>
        <w:t>Таким образом, в случае если законодательством Российской Федерации, учредительными документами юридического лица установлено требование о необходимости наличия решения об одобрении или о совершении крупной сделки и для участника закупки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закупке, обеспечения исполнения контракта является крупной сделкой, то в составе второй части заявки такой участник закупки должен представить решение об одобрении или о совершении крупной сделки.</w:t>
      </w:r>
    </w:p>
    <w:p w:rsidR="00A860F0" w:rsidRDefault="00A860F0" w:rsidP="00A860F0">
      <w:pPr>
        <w:jc w:val="both"/>
      </w:pPr>
      <w:r>
        <w:t>По вопросам, связанным с формированием, содержанием и применением решений об одобрении крупной сделки для обществ с ограниченной ответственностью, акционерных обществ, а также необходимостью представления решения об одобрении крупной сделки для индивидуальных предпринимателей, сообщаем следующее.</w:t>
      </w:r>
    </w:p>
    <w:p w:rsidR="00A860F0" w:rsidRDefault="00A860F0" w:rsidP="00A860F0">
      <w:pPr>
        <w:jc w:val="both"/>
      </w:pPr>
      <w:r>
        <w:t>В соответствии с пунктом 3 статьи 46 Федерального закона от 08.02.1998 № 14-ФЗ "Об обществах с ограниченной ответственностью" принятие решения о согласии на совершение крупной сделки является компетенцией общего собрания участников общества.</w:t>
      </w:r>
    </w:p>
    <w:p w:rsidR="00A860F0" w:rsidRDefault="00A860F0" w:rsidP="00A860F0">
      <w:pPr>
        <w:jc w:val="both"/>
      </w:pPr>
      <w:r>
        <w:lastRenderedPageBreak/>
        <w:t>В соответствии со статьей 79 Федерального закона от 26.12.1995 № 208-ФЗ "Об акционерных обществах" принятие решения о согласии или о последующем одобрении крупной сделки может относиться к компетенции общего собрания акционеров:</w:t>
      </w:r>
    </w:p>
    <w:p w:rsidR="00A860F0" w:rsidRDefault="00A860F0" w:rsidP="00A860F0">
      <w:pPr>
        <w:jc w:val="both"/>
      </w:pPr>
      <w:r>
        <w:t>по решению совета директоров (наблюдательного совета) общества в случае, если единогласие совета директоров (наблюдательного совета) общества по вопросу о согласии на совершение или последующем одобрении крупной сделки, предметом которой является имущество, стоимость которого составляет от 25 до 50 процентов балансовой стоимости активов общества, не достигнуто;</w:t>
      </w:r>
    </w:p>
    <w:p w:rsidR="00A860F0" w:rsidRDefault="00A860F0" w:rsidP="00A860F0">
      <w:pPr>
        <w:jc w:val="both"/>
      </w:pPr>
      <w:r>
        <w:t>в случае, если предметом крупной сделки является имущество, стоимость которого составляет более 50 процентов балансовой стоимости активов общества.</w:t>
      </w:r>
    </w:p>
    <w:p w:rsidR="00A860F0" w:rsidRDefault="00A860F0" w:rsidP="00A860F0">
      <w:pPr>
        <w:jc w:val="both"/>
      </w:pPr>
      <w:r>
        <w:t>Согласно пункту 3 статьи 67.1 Гражданского кодекса Российской Федерации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A860F0" w:rsidRDefault="00A860F0" w:rsidP="00A860F0">
      <w:pPr>
        <w:jc w:val="both"/>
      </w:pPr>
      <w:r>
        <w:t>1) публичного акционерного общества лицом, осуществляющим ведение реестра акционеров такого общества и выполняющим функции счетной комиссии;</w:t>
      </w:r>
    </w:p>
    <w:p w:rsidR="00A860F0" w:rsidRDefault="00A860F0" w:rsidP="00A860F0">
      <w:pPr>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A860F0" w:rsidRDefault="00A860F0" w:rsidP="00A860F0">
      <w:pPr>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A860F0" w:rsidRDefault="00A860F0" w:rsidP="00A860F0">
      <w:pPr>
        <w:jc w:val="both"/>
      </w:pPr>
      <w:r>
        <w:t>В соответствии с пунктом 3 статьи 23 Гражданского кодекса Российской Федерации к предпринимательской деятельности граждан, осуществляемой без образования юридического лица, соответственно применяются правила Гражданского кодекса Российской Федерации,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A860F0" w:rsidRDefault="00A860F0" w:rsidP="00A860F0">
      <w:pPr>
        <w:jc w:val="both"/>
      </w:pPr>
      <w:r>
        <w:t>Дополнительно сообщаем, что Минфин России не обладает ни надзорными, ни контрольными функциями и (или) полномочиями в отношении осуществляемых закупок, а также не наделен полномочиями по анализу и оценке позиций федеральных органов исполнительной власти, судебных органов. </w:t>
      </w:r>
    </w:p>
    <w:bookmarkEnd w:id="0"/>
    <w:p w:rsidR="00A860F0" w:rsidRDefault="00A860F0" w:rsidP="00A860F0">
      <w:pPr>
        <w:jc w:val="right"/>
      </w:pPr>
      <w:r>
        <w:t>Заместитель директора Департамента</w:t>
      </w:r>
    </w:p>
    <w:p w:rsidR="00A860F0" w:rsidRDefault="00A860F0" w:rsidP="00A860F0">
      <w:pPr>
        <w:jc w:val="right"/>
      </w:pPr>
      <w:r>
        <w:t>И.Ю.КУСТ</w:t>
      </w:r>
    </w:p>
    <w:p w:rsidR="00A860F0" w:rsidRDefault="00A860F0" w:rsidP="00A860F0">
      <w:r>
        <w:t>07.07.2020</w:t>
      </w:r>
    </w:p>
    <w:p w:rsidR="00A860F0" w:rsidRDefault="00A860F0" w:rsidP="00A860F0">
      <w:r>
        <w:t> </w:t>
      </w:r>
    </w:p>
    <w:p w:rsidR="00AA1A3A" w:rsidRDefault="00AA1A3A"/>
    <w:sectPr w:rsidR="00AA1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0"/>
    <w:rsid w:val="00A860F0"/>
    <w:rsid w:val="00AA1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14018-B0C4-4F53-A479-68C49692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60F0"/>
    <w:rPr>
      <w:color w:val="0000FF"/>
      <w:u w:val="single"/>
    </w:rPr>
  </w:style>
  <w:style w:type="character" w:customStyle="1" w:styleId="blk">
    <w:name w:val="blk"/>
    <w:basedOn w:val="a0"/>
    <w:rsid w:val="00A8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2021-11-25T08:13:00Z</dcterms:created>
  <dcterms:modified xsi:type="dcterms:W3CDTF">2021-11-25T08:16:00Z</dcterms:modified>
</cp:coreProperties>
</file>