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E1" w:rsidRDefault="000151E1" w:rsidP="000151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0151E1" w:rsidRDefault="000151E1" w:rsidP="000151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0151E1" w:rsidRDefault="000151E1" w:rsidP="000151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0151E1" w:rsidRDefault="000151E1" w:rsidP="000151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10 июня 2020 г. № 09-04-06/50348 </w:t>
      </w:r>
    </w:p>
    <w:p w:rsidR="000151E1" w:rsidRDefault="000151E1" w:rsidP="000151E1">
      <w:pPr>
        <w:jc w:val="both"/>
        <w:rPr>
          <w:rFonts w:ascii="Times New Roman" w:hAnsi="Times New Roman" w:cs="Times New Roman"/>
        </w:rPr>
      </w:pPr>
      <w:r>
        <w:t xml:space="preserve">  </w:t>
      </w:r>
    </w:p>
    <w:p w:rsidR="000151E1" w:rsidRDefault="000151E1" w:rsidP="000151E1">
      <w:pPr>
        <w:jc w:val="both"/>
      </w:pPr>
      <w:r>
        <w:t xml:space="preserve">Министерство финансов Российской Федерации в соответствии с обращением по вопросу осуществления государственным заказчиком оплаты по договору цессии сообщает. </w:t>
      </w:r>
    </w:p>
    <w:p w:rsidR="000151E1" w:rsidRDefault="000151E1" w:rsidP="000151E1">
      <w:pPr>
        <w:jc w:val="both"/>
      </w:pPr>
      <w:r>
        <w:t xml:space="preserve">В соответствии с Федеральным законом от 02.05.2006 № 59-ФЗ "О порядке рассмотрения обращений граждан Российской Федерации" рассмотрению подлежат следующие виды обращений граждан: </w:t>
      </w:r>
    </w:p>
    <w:p w:rsidR="000151E1" w:rsidRDefault="000151E1" w:rsidP="000151E1">
      <w:pPr>
        <w:jc w:val="both"/>
      </w:pPr>
      <w:r>
        <w:t xml:space="preserve">- предложения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 </w:t>
      </w:r>
    </w:p>
    <w:p w:rsidR="000151E1" w:rsidRDefault="000151E1" w:rsidP="000151E1">
      <w:pPr>
        <w:jc w:val="both"/>
      </w:pPr>
      <w:r>
        <w:t xml:space="preserve">- просьбы граждан о содействии в реализации их конституционных прав и свобод или конституционных прав и свобод других лиц, либо сообщения о нарушении законов или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 </w:t>
      </w:r>
    </w:p>
    <w:p w:rsidR="000151E1" w:rsidRDefault="000151E1" w:rsidP="000151E1">
      <w:pPr>
        <w:jc w:val="both"/>
      </w:pPr>
      <w:r>
        <w:t xml:space="preserve">- жалобы граждан - просьбы о восстановлении или защите их нарушенных прав, свобод или законных интересов либо прав и свобод или законных интересов других лиц. </w:t>
      </w:r>
    </w:p>
    <w:p w:rsidR="000151E1" w:rsidRDefault="000151E1" w:rsidP="000151E1">
      <w:pPr>
        <w:jc w:val="both"/>
      </w:pPr>
      <w:r>
        <w:t xml:space="preserve">Кроме того, 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года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деятельности, однако Минфину России не предоставлено право официального толкования законодательных или иных нормативных правовых актов. </w:t>
      </w:r>
    </w:p>
    <w:p w:rsidR="000151E1" w:rsidRDefault="000151E1" w:rsidP="000151E1">
      <w:pPr>
        <w:jc w:val="both"/>
      </w:pPr>
      <w:r>
        <w:t xml:space="preserve">Согласно пункту 7.7 Регламента Министерства финансов Российской Федерации, утвержденного приказом Министерства финансов Российской Федерации от 15 июня 2012 года № 82н,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актов, а также толкование норм, терминов и понятий по обращениям организаций, за исключением случаев, если на него возложена соответствующая обязанность. </w:t>
      </w:r>
    </w:p>
    <w:p w:rsidR="000151E1" w:rsidRDefault="000151E1" w:rsidP="000151E1">
      <w:pPr>
        <w:jc w:val="both"/>
      </w:pPr>
      <w:r>
        <w:t xml:space="preserve">Вместе с тем полагаем возможным высказать мнение Минфина России по поставленному в обращении вопросу. </w:t>
      </w:r>
    </w:p>
    <w:p w:rsidR="000151E1" w:rsidRDefault="000151E1" w:rsidP="000151E1">
      <w:pPr>
        <w:jc w:val="both"/>
      </w:pPr>
      <w:r>
        <w:t xml:space="preserve">Государственный (муниципальный) контракт, хотя и является формой двусторонней сделки, но права и обязанности получателей бюджетных средств при оплате такого договора регулируются бюджетным законодательством Российской Федерации и соответствующим ему законодательством о контрактной системе в сфере закупок товаров, работ, услуг для обеспечения государственных и муниципальных нужд, поскольку оплата государственного (муниципального) контракта является исполнением бюджета по расходам. </w:t>
      </w:r>
    </w:p>
    <w:p w:rsidR="000151E1" w:rsidRDefault="000151E1" w:rsidP="000151E1">
      <w:pPr>
        <w:jc w:val="both"/>
      </w:pPr>
      <w:r>
        <w:lastRenderedPageBreak/>
        <w:t xml:space="preserve">Нормами Бюджетного кодекса Российской Федерации (далее - Бюджетный кодекс) уступка требования (цессия) и финансирование под уступку денежного требования по оплате денежного обязательства, возникающего из государственного (муниципального) контракта, не предусмотрены. </w:t>
      </w:r>
    </w:p>
    <w:p w:rsidR="000151E1" w:rsidRDefault="000151E1" w:rsidP="000151E1">
      <w:pPr>
        <w:jc w:val="both"/>
      </w:pPr>
      <w:r>
        <w:t xml:space="preserve">В соответствии с пунктом 1 статьи 219 Бюджетного кодекса исполнение бюджета по расходам осуществляется в порядке, установленном соответствующим финансовым органом (органом управления государственным внебюджетным фондом), с соблюдением требований Бюджетного кодекса. </w:t>
      </w:r>
    </w:p>
    <w:p w:rsidR="000151E1" w:rsidRDefault="000151E1" w:rsidP="000151E1">
      <w:pPr>
        <w:jc w:val="both"/>
      </w:pPr>
      <w:r>
        <w:t xml:space="preserve">Положениями пункта 2 статьи 219 Бюджетного кодекса исполнение бюджетов по расходам предусматривает: принятие и учет бюджетных и денежных обязательств; подтверждение денежных обязательств; санкционирование оплаты денежных обязательств; подтверждение исполнения денежных обязательств. Обязательства, не принятые к учету в соответствии с нормами бюджетного законодательства Российской Федерации, не подлежат оплате (статья 219 Бюджетного кодекса). </w:t>
      </w:r>
    </w:p>
    <w:p w:rsidR="000151E1" w:rsidRDefault="000151E1" w:rsidP="000151E1">
      <w:pPr>
        <w:jc w:val="both"/>
      </w:pPr>
      <w:r>
        <w:t xml:space="preserve">Для постановки на учет бюджетных и денежных обязательств Федеральное казначейство, финансовые органы субъектов Российской Федерации (муниципальных образований), органы управления государственными внебюджетными фондами осуществляют в соответствии с установленным порядком контроль за </w:t>
      </w:r>
      <w:proofErr w:type="spellStart"/>
      <w:r>
        <w:t>непревышением</w:t>
      </w:r>
      <w:proofErr w:type="spellEnd"/>
      <w: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и соответствием сведений о государственном (муниципальном) контракте в реестре контрактов (пункт 5 статьи 219 Бюджетного кодекса). </w:t>
      </w:r>
    </w:p>
    <w:p w:rsidR="000151E1" w:rsidRDefault="000151E1" w:rsidP="000151E1">
      <w:pPr>
        <w:jc w:val="both"/>
      </w:pPr>
      <w:proofErr w:type="spellStart"/>
      <w:r>
        <w:t>КонсультантПлюс</w:t>
      </w:r>
      <w:proofErr w:type="spellEnd"/>
      <w:r>
        <w:t xml:space="preserve">: примечание. </w:t>
      </w:r>
    </w:p>
    <w:p w:rsidR="000151E1" w:rsidRDefault="000151E1" w:rsidP="000151E1">
      <w:pPr>
        <w:jc w:val="both"/>
      </w:pPr>
      <w:r>
        <w:t xml:space="preserve">В тексте документа, видимо, допущена опечатка: имеется в виду абзац пятый пункта 5 статьи 219 БК РФ, а не абзац четвертый. </w:t>
      </w:r>
    </w:p>
    <w:p w:rsidR="000151E1" w:rsidRDefault="000151E1" w:rsidP="000151E1">
      <w:pPr>
        <w:jc w:val="both"/>
      </w:pPr>
      <w:r>
        <w:t xml:space="preserve">При этом оплата осуществляется при постановке на учет денежного обязательства, информация о котором должна соответствовать поставленному на учет соответствующему бюджетному обязательству (абзац четвертый пункта 5 статьи 219 Бюджетного кодекса). </w:t>
      </w:r>
    </w:p>
    <w:p w:rsidR="000151E1" w:rsidRDefault="000151E1" w:rsidP="000151E1">
      <w:pPr>
        <w:jc w:val="both"/>
      </w:pPr>
      <w:r>
        <w:t xml:space="preserve">Сформированная система учета и исполнения бюджетных обязательств соответствует принципу адресности и целевого использования бюджетных средств, определенному статьей 38 Бюджетного кодекса, и именно в этой связи накладывает на получателей средств из бюджета (в том числе исполнителей государственных контрактов) законодательно определенные обязанности, как например, обязательность включения в отдельный реестр, в который включаются сведения юридического лица, получившего средства из бюджета; открытия лицевых счетов в Федеральном казначействе или финансовом органе субъекта Российской федерации (муниципального образования) в целях осуществления контроля операций на указанных счетах. </w:t>
      </w:r>
    </w:p>
    <w:p w:rsidR="000151E1" w:rsidRDefault="000151E1" w:rsidP="000151E1">
      <w:pPr>
        <w:jc w:val="both"/>
      </w:pPr>
      <w:r>
        <w:t xml:space="preserve">Начиная с 2015 года Федеральным законом о федеральном бюджете предусматриваются положения о казначейском сопровождении средств в рамках исполнения государственных контрактов, позволяющие определить фактическую себестоимость закупаемых по государственным контрактам товаров, работ, услуг через раскрытие структуры цены контракта (абзац четвертый части 1 статьи 5 Федерального закона от 2 декабря 2019 года № 380-ФЗ "О федеральном бюджете на 2020 год и на плановый период 2021 и 2022 годов" (далее - Федеральный закон № 380-ФЗ)). </w:t>
      </w:r>
    </w:p>
    <w:p w:rsidR="000151E1" w:rsidRDefault="000151E1" w:rsidP="000151E1">
      <w:pPr>
        <w:jc w:val="both"/>
      </w:pPr>
      <w:r>
        <w:t xml:space="preserve">В этой связи для государственного контракта бюджетное законодательство Российской Федерации устанавливает обязательные для сторон правила, отличающие условия государственных контрактов от аналогичных договоров (например, по открытию поставщиком (подрядчиком, </w:t>
      </w:r>
      <w:r>
        <w:lastRenderedPageBreak/>
        <w:t xml:space="preserve">исполнителем) и его соисполнителями лицевого счета в органах Федерального казначейства (часть 1 статьи 5 Федерального закона № 380-ФЗ)). </w:t>
      </w:r>
    </w:p>
    <w:p w:rsidR="000151E1" w:rsidRDefault="000151E1" w:rsidP="000151E1">
      <w:pPr>
        <w:jc w:val="both"/>
      </w:pPr>
      <w:r>
        <w:t xml:space="preserve">Контроль за использованием предоставленных из бюджета средств направлен на своевременное предотвращение бюджетных рисков публично-правовых образований, связанных с неисполнением или ненадлежащим исполнением государственного контракта на любом его этапе (Правила казначейского сопровождения средств государственного оборонного заказа в валюте Российской Федерации в случаях, предусмотренных Федеральным законом "О федеральном бюджете на 2020 год и на плановый период 2021 и 2022 годов", утвержденные постановлением Правительства Российской Федерации от 25 декабря 2019 года № 1819). </w:t>
      </w:r>
    </w:p>
    <w:p w:rsidR="000151E1" w:rsidRDefault="000151E1" w:rsidP="000151E1">
      <w:pPr>
        <w:jc w:val="both"/>
      </w:pPr>
      <w:r>
        <w:t xml:space="preserve">Наряду с казначейским сопровождением законодательством Российской Федерации, регламентирующим закупки товаров, работ, услуг для обеспечения государственных и муниципальных нужд, предусмотрено банковское сопровождение контрактов, обеспечивающее контроль за целевым использованием средств, предоставленных на финансовое обеспечение контракта (статья 35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нужд"). </w:t>
      </w:r>
    </w:p>
    <w:p w:rsidR="000151E1" w:rsidRDefault="000151E1" w:rsidP="000151E1">
      <w:pPr>
        <w:jc w:val="both"/>
      </w:pPr>
      <w:r>
        <w:t xml:space="preserve">При этом, учитывая, что механизмы казначейского и банковского сопровождения применяются как к головному исполнителю, так и к субподрядчикам (соисполнителям), применение уступки права требования по государственным (муниципальным) контрактам приведет к нарушению целостности проводимого контроля. </w:t>
      </w:r>
    </w:p>
    <w:p w:rsidR="000151E1" w:rsidRDefault="000151E1" w:rsidP="000151E1">
      <w:pPr>
        <w:jc w:val="both"/>
      </w:pPr>
      <w:r>
        <w:t>В этой связи в отличие от гражданского законодательства Российской Федерации, в том числе гражданского процессуального законодательства, законодательства о несостоятельности (банкротстве), бюджетное законодательство Российской Федерации не допускает возможность выплаты средств из бюджета лицу, не являющемуся стороной государственного (муниципального) контракта, иного договора, заключенного получателем бюджетных средств, поскольку отсутствуют нормы о перемене лица в силу уступки права требования.</w:t>
      </w:r>
      <w:bookmarkStart w:id="0" w:name="_GoBack"/>
      <w:bookmarkEnd w:id="0"/>
      <w:r>
        <w:t xml:space="preserve">  </w:t>
      </w:r>
    </w:p>
    <w:p w:rsidR="000151E1" w:rsidRDefault="000151E1" w:rsidP="000151E1">
      <w:pPr>
        <w:jc w:val="right"/>
      </w:pPr>
      <w:r>
        <w:t xml:space="preserve">А.М.ЛАВРОВ </w:t>
      </w:r>
    </w:p>
    <w:p w:rsidR="000151E1" w:rsidRDefault="000151E1" w:rsidP="000151E1">
      <w:pPr>
        <w:jc w:val="both"/>
      </w:pPr>
      <w:r>
        <w:t xml:space="preserve">10.06.2020 </w:t>
      </w:r>
    </w:p>
    <w:p w:rsidR="000151E1" w:rsidRDefault="000151E1"/>
    <w:sectPr w:rsidR="00015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E1"/>
    <w:rsid w:val="0001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2232"/>
  <w15:chartTrackingRefBased/>
  <w15:docId w15:val="{76E67A74-D881-4513-BA56-67872637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1E1"/>
    <w:rPr>
      <w:color w:val="0000FF"/>
      <w:u w:val="single"/>
    </w:rPr>
  </w:style>
  <w:style w:type="character" w:customStyle="1" w:styleId="blk">
    <w:name w:val="blk"/>
    <w:basedOn w:val="a0"/>
    <w:rsid w:val="00015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2022-02-01T10:11:00Z</dcterms:created>
  <dcterms:modified xsi:type="dcterms:W3CDTF">2022-02-01T10:13:00Z</dcterms:modified>
</cp:coreProperties>
</file>