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5730" w14:textId="77777777" w:rsidR="00C76BC5" w:rsidRPr="00C76BC5" w:rsidRDefault="00C76BC5" w:rsidP="00905C9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color w:val="000000" w:themeColor="text1"/>
        </w:rPr>
      </w:pPr>
      <w:r w:rsidRPr="00C76BC5">
        <w:rPr>
          <w:b/>
          <w:bCs/>
          <w:color w:val="000000" w:themeColor="text1"/>
        </w:rPr>
        <w:t>ЦЕНТРАЛЬНЫЙ БАНК РОССИЙСКОЙ ФЕДЕРАЦИИ</w:t>
      </w:r>
    </w:p>
    <w:p w14:paraId="4DECBA5B" w14:textId="77777777" w:rsidR="00C76BC5" w:rsidRPr="00C76BC5" w:rsidRDefault="00C76BC5" w:rsidP="00905C9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color w:val="000000" w:themeColor="text1"/>
        </w:rPr>
      </w:pPr>
      <w:r w:rsidRPr="00C76BC5">
        <w:rPr>
          <w:b/>
          <w:bCs/>
          <w:color w:val="000000" w:themeColor="text1"/>
        </w:rPr>
        <w:t>ИНФОРМАЦИЯ</w:t>
      </w:r>
    </w:p>
    <w:p w14:paraId="0DB620CF" w14:textId="77777777" w:rsidR="00C76BC5" w:rsidRPr="00C76BC5" w:rsidRDefault="00C76BC5" w:rsidP="00905C94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b/>
          <w:bCs/>
          <w:color w:val="000000" w:themeColor="text1"/>
        </w:rPr>
      </w:pPr>
      <w:r w:rsidRPr="00C76BC5">
        <w:rPr>
          <w:b/>
          <w:bCs/>
          <w:color w:val="000000" w:themeColor="text1"/>
        </w:rPr>
        <w:t>от 10 июня 2022 года</w:t>
      </w:r>
    </w:p>
    <w:p w14:paraId="1F156052" w14:textId="77777777" w:rsidR="00C76BC5" w:rsidRPr="00C76BC5" w:rsidRDefault="00C76BC5" w:rsidP="00905C9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color w:val="000000" w:themeColor="text1"/>
        </w:rPr>
      </w:pPr>
      <w:r w:rsidRPr="00C76BC5">
        <w:rPr>
          <w:b/>
          <w:bCs/>
          <w:color w:val="000000" w:themeColor="text1"/>
        </w:rPr>
        <w:t>БАНК РОССИИ ПРИНЯЛ РЕШЕНИЕ</w:t>
      </w:r>
      <w:bookmarkStart w:id="0" w:name="_GoBack"/>
      <w:bookmarkEnd w:id="0"/>
    </w:p>
    <w:p w14:paraId="121CE955" w14:textId="77777777" w:rsidR="00C76BC5" w:rsidRPr="00C76BC5" w:rsidRDefault="00C76BC5" w:rsidP="00905C94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b/>
          <w:bCs/>
          <w:color w:val="000000" w:themeColor="text1"/>
        </w:rPr>
      </w:pPr>
      <w:r w:rsidRPr="00C76BC5">
        <w:rPr>
          <w:b/>
          <w:bCs/>
          <w:color w:val="000000" w:themeColor="text1"/>
        </w:rPr>
        <w:t>СНИЗИТЬ КЛЮЧЕВУЮ СТАВКУ НА 150 Б.П., ДО 9,50% ГОДОВЫХ</w:t>
      </w:r>
    </w:p>
    <w:p w14:paraId="7A30168D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 xml:space="preserve">Совет директоров Банка России 10 июня 2022 года принял решение снизить ключевую ставку на 150 </w:t>
      </w:r>
      <w:proofErr w:type="spellStart"/>
      <w:r w:rsidRPr="00C76BC5">
        <w:rPr>
          <w:color w:val="000000" w:themeColor="text1"/>
        </w:rPr>
        <w:t>б.п</w:t>
      </w:r>
      <w:proofErr w:type="spellEnd"/>
      <w:r w:rsidRPr="00C76BC5">
        <w:rPr>
          <w:color w:val="000000" w:themeColor="text1"/>
        </w:rPr>
        <w:t>., до 9,50% годовых. Внешние условия для российской экономики остаются сложными и значительно ограничивают экономическую деятельность. Вместе с тем замедление инфляции происходит быстрее, а снижение экономической активности - в меньшем масштабе, чем Банк России ожидал в апреле. Последние данные указывают на низкие текущие темпы прироста цен в мае и начале июня. Этому способствовали динамика обменного курса рубля и исчерпание эффектов ажиотажного потребительского спроса в условиях заметного снижения инфляционных ожиданий населения и бизнеса.</w:t>
      </w:r>
    </w:p>
    <w:p w14:paraId="21DE13AA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Банк России будет принимать дальнейшие решения по ключевой ставке с учетом фактической и ожидаемой динамики инфляции относительно цели, процесса структурной перестройки экономики, а также оценивая риски со стороны внутренних и внешних условий и реакции на них финансовых рынков. Банк России будет оценивать целесообразность снижения ключевой ставки на ближайших заседаниях. По прогнозу Банка России, с учетом проводимой денежно-кредитной политики годовая инфляция составит 14,0 - 17,0% в 2022 году, снизится до 5,0 - 7,0% в 2023 году и вернется к 4% в 2024 году.</w:t>
      </w:r>
    </w:p>
    <w:p w14:paraId="5FA51EB9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Динамика инфляции. Инфляция складывается значительно ниже апрельского прогноза Банка России. По оценке на 3 июня, годовая инфляция снизилась до 17,0% (после 17,8% в апреле). Последние данные указывают на низкие текущие темпы прироста потребительских цен в мае и начале июня.</w:t>
      </w:r>
    </w:p>
    <w:p w14:paraId="5C98815D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 xml:space="preserve">Снижение общего показателя инфляции во многом произошло за счет коррекции цен на небольшую группу товаров и услуг после их резкого роста в марте. Этому способствовали динамика обменного курса рубля и исчерпание эффектов ажиотажного потребительского спроса в условиях заметного снижения инфляционных ожиданий населения и бизнеса. В то же время текущие темпы прироста цен в большей части потребительской корзины, хотя и снизились, остаются значимо выше 4% в </w:t>
      </w:r>
      <w:proofErr w:type="spellStart"/>
      <w:r w:rsidRPr="00C76BC5">
        <w:rPr>
          <w:color w:val="000000" w:themeColor="text1"/>
        </w:rPr>
        <w:t>аннуализированном</w:t>
      </w:r>
      <w:proofErr w:type="spellEnd"/>
      <w:r w:rsidRPr="00C76BC5">
        <w:rPr>
          <w:color w:val="000000" w:themeColor="text1"/>
        </w:rPr>
        <w:t xml:space="preserve"> выражении.</w:t>
      </w:r>
    </w:p>
    <w:p w14:paraId="61A7A4AD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В базовом сценарии Банк России ожидает, что к концу 2022 года годовая инфляция составит 14,0 - 17,0%. Важными факторами для дальнейшей динамики инфляции станут эффективность процессов импортозамещения, а также масштаб и скорость восстановления импорта готовых товаров, сырья и комплектующих. По прогнозу Банка России, с учетом проводимой денежно-кредитной политики годовая инфляция снизится до 5,0 - 7,0% в 2023 году и вернется к 4% в 2024 году.</w:t>
      </w:r>
    </w:p>
    <w:p w14:paraId="77655D28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 xml:space="preserve">Денежно-кредитные условия в целом оставались жесткими, смягчившись неравномерно в различных сегментах финансового рынка. Уменьшились доходности ОФЗ и процентные ставки на кредитно-депозитном рынке. В условиях произошедшего снижения депозитных ставок замедлился приток средств на срочные рублевые депозиты. Вместе с тем повышенная премия за риск в кредитных ставках и высокие требования банков к </w:t>
      </w:r>
      <w:r w:rsidRPr="00C76BC5">
        <w:rPr>
          <w:color w:val="000000" w:themeColor="text1"/>
        </w:rPr>
        <w:lastRenderedPageBreak/>
        <w:t>заемщикам сохранили жесткость ценовых и неценовых условий банковского кредитования. Из-за этого активность на рынке розничного и корпоративного кредитования оставалась слабой. Поддержку кредитованию оказывали правительственные программы льготного кредитования.</w:t>
      </w:r>
    </w:p>
    <w:p w14:paraId="06B3BF58" w14:textId="6E88323E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 xml:space="preserve">Принятые Банком России в апреле - июне решения о снижении ключевой ставки увеличат доступность кредитных ресурсов в экономике и ограничат масштаб снижения экономической активности. В то же время денежно-кредитная политика сохранит необходимое </w:t>
      </w:r>
      <w:proofErr w:type="spellStart"/>
      <w:r w:rsidRPr="00C76BC5">
        <w:rPr>
          <w:color w:val="000000" w:themeColor="text1"/>
        </w:rPr>
        <w:t>дезинфляционное</w:t>
      </w:r>
      <w:proofErr w:type="spellEnd"/>
      <w:r w:rsidRPr="00C76BC5">
        <w:rPr>
          <w:color w:val="000000" w:themeColor="text1"/>
        </w:rPr>
        <w:t xml:space="preserve"> влияние для возвращения инфляции к цели в 2024 году. Банк России прогнозирует среднюю ключевую ставку в диапазоне 10,8 - 11,4% в 2022 году, 7,0 - 9,0% в 2023 году и 6,0 - 7,0% в 2024 году.</w:t>
      </w:r>
    </w:p>
    <w:p w14:paraId="45EAB799" w14:textId="79FC7180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С учетом того, что с 1 января по 13 июня 2022 года средняя ключевая ставка равна 13,8%, с 14 июня до конца 2022 года средняя ключевая ставка прогнозируется в диапазоне 8,5 - 9,5%.</w:t>
      </w:r>
    </w:p>
    <w:p w14:paraId="58925574" w14:textId="77777777" w:rsidR="00C76BC5" w:rsidRPr="00C76BC5" w:rsidRDefault="00C76BC5" w:rsidP="00C76BC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Экономическая активность. Оперативные индикаторы указывают на то, что снижение деловой активности после резкого падения в апреле приостановилось в мае. При этом наблюдалась неоднородность тенденций в отраслевом разрезе.</w:t>
      </w:r>
    </w:p>
    <w:p w14:paraId="00E51A10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Снижение экономической активности происходит за счет как спроса, так и предложения. Согласно данным опросов, предприятия по-прежнему испытывают значительные затруднения в производстве и логистике, несмотря на некоторую диверсификацию поставщиков готовой продукции, сырья и комплектующих, а также рынков сбыта. Потребительская активность сокращается в реальном выражении в условиях высокой склонности населения к сбережению и снижения реальных доходов.</w:t>
      </w:r>
    </w:p>
    <w:p w14:paraId="70257FE6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Внешние условия для российской экономики остаются сложными и значительно ограничивают экономическую деятельность. Сокращение импорта из-за введения внешних торговых и финансовых ограничений существенно опережает снижение экспорта.</w:t>
      </w:r>
    </w:p>
    <w:p w14:paraId="69A87B36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В целом фактическое снижение экономической активности в II квартале 2022 года происходит в меньшем масштабе, чем Банк России ожидал в апрельском базовом сценарии. С учетом этого Банк России оценивает, что снижение ВВП по итогам 2022 года может оказаться меньше, чем прогнозировалось в апреле.</w:t>
      </w:r>
    </w:p>
    <w:p w14:paraId="7F8BB821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 xml:space="preserve">Инфляционные риски. </w:t>
      </w:r>
      <w:proofErr w:type="spellStart"/>
      <w:r w:rsidRPr="00C76BC5">
        <w:rPr>
          <w:color w:val="000000" w:themeColor="text1"/>
        </w:rPr>
        <w:t>Проинфляционные</w:t>
      </w:r>
      <w:proofErr w:type="spellEnd"/>
      <w:r w:rsidRPr="00C76BC5">
        <w:rPr>
          <w:color w:val="000000" w:themeColor="text1"/>
        </w:rPr>
        <w:t xml:space="preserve"> риски продолжают снижаться, но остаются существенными.</w:t>
      </w:r>
    </w:p>
    <w:p w14:paraId="2E23D14F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Динамика экономики и инфляции в значительной мере зависит от решений, принимаемых в области бюджетной политики. Банк России исходит из уже принятых решений по среднесрочной траектории расходов федерального бюджета и бюджетной системы в целом. В случае дополнительного расширения бюджетного дефицита может потребоваться более жесткая денежно-кредитная политика для возвращения инфляции к цели в 2024 году и ее поддержания вблизи 4% в дальнейшем.</w:t>
      </w:r>
    </w:p>
    <w:p w14:paraId="2F219F56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 xml:space="preserve">На краткосрочном горизонте действие </w:t>
      </w:r>
      <w:proofErr w:type="spellStart"/>
      <w:r w:rsidRPr="00C76BC5">
        <w:rPr>
          <w:color w:val="000000" w:themeColor="text1"/>
        </w:rPr>
        <w:t>проинфляционных</w:t>
      </w:r>
      <w:proofErr w:type="spellEnd"/>
      <w:r w:rsidRPr="00C76BC5">
        <w:rPr>
          <w:color w:val="000000" w:themeColor="text1"/>
        </w:rPr>
        <w:t xml:space="preserve"> факторов может усиливаться высокими и </w:t>
      </w:r>
      <w:proofErr w:type="spellStart"/>
      <w:r w:rsidRPr="00C76BC5">
        <w:rPr>
          <w:color w:val="000000" w:themeColor="text1"/>
        </w:rPr>
        <w:t>незаякоренными</w:t>
      </w:r>
      <w:proofErr w:type="spellEnd"/>
      <w:r w:rsidRPr="00C76BC5">
        <w:rPr>
          <w:color w:val="000000" w:themeColor="text1"/>
        </w:rPr>
        <w:t xml:space="preserve"> инфляционными ожиданиями. Слишком сильное снижение склонности населения к сбережению может привести к опережающему росту потребительского спроса по сравнению с возможностями расширения выпуска.</w:t>
      </w:r>
    </w:p>
    <w:p w14:paraId="37EA85B4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proofErr w:type="spellStart"/>
      <w:r w:rsidRPr="00C76BC5">
        <w:rPr>
          <w:color w:val="000000" w:themeColor="text1"/>
        </w:rPr>
        <w:t>Дезинфляционные</w:t>
      </w:r>
      <w:proofErr w:type="spellEnd"/>
      <w:r w:rsidRPr="00C76BC5">
        <w:rPr>
          <w:color w:val="000000" w:themeColor="text1"/>
        </w:rPr>
        <w:t xml:space="preserve"> риски для базового сценария во многом связаны с сохранением высокой премии за риск в кредитных ставках и повышенных требований банков к заемщикам на фоне высокой неопределенности. Это может привести к более существенному замедлению кредитной активности.</w:t>
      </w:r>
    </w:p>
    <w:p w14:paraId="3B180D9A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lastRenderedPageBreak/>
        <w:t xml:space="preserve">Набор рисков со стороны внешних условий может иметь как </w:t>
      </w:r>
      <w:proofErr w:type="spellStart"/>
      <w:r w:rsidRPr="00C76BC5">
        <w:rPr>
          <w:color w:val="000000" w:themeColor="text1"/>
        </w:rPr>
        <w:t>проинфляционные</w:t>
      </w:r>
      <w:proofErr w:type="spellEnd"/>
      <w:r w:rsidRPr="00C76BC5">
        <w:rPr>
          <w:color w:val="000000" w:themeColor="text1"/>
        </w:rPr>
        <w:t xml:space="preserve">, так и </w:t>
      </w:r>
      <w:proofErr w:type="spellStart"/>
      <w:r w:rsidRPr="00C76BC5">
        <w:rPr>
          <w:color w:val="000000" w:themeColor="text1"/>
        </w:rPr>
        <w:t>дезинфляционные</w:t>
      </w:r>
      <w:proofErr w:type="spellEnd"/>
      <w:r w:rsidRPr="00C76BC5">
        <w:rPr>
          <w:color w:val="000000" w:themeColor="text1"/>
        </w:rPr>
        <w:t xml:space="preserve"> эффекты. </w:t>
      </w:r>
      <w:proofErr w:type="spellStart"/>
      <w:r w:rsidRPr="00C76BC5">
        <w:rPr>
          <w:color w:val="000000" w:themeColor="text1"/>
        </w:rPr>
        <w:t>Проинфляционное</w:t>
      </w:r>
      <w:proofErr w:type="spellEnd"/>
      <w:r w:rsidRPr="00C76BC5">
        <w:rPr>
          <w:color w:val="000000" w:themeColor="text1"/>
        </w:rPr>
        <w:t xml:space="preserve"> влияние может оказать дальнейшее усиление внешних торговых и финансовых ограничений, которое приведет к большему, чем ожидается в базовом сценарии, снижению потенциала российской экономики. Ограничения на стороне предложения могут, в частности, усилиться из-за медленного восполнения запасов готовой продукции, сырья и комплектующих в случае сохранения негативных тенденций в динамике импорта. В свою очередь реализация растущих рисков глобальной рецессии может дополнительно ослабить внешний спрос на товары российского экспорта. </w:t>
      </w:r>
      <w:proofErr w:type="spellStart"/>
      <w:r w:rsidRPr="00C76BC5">
        <w:rPr>
          <w:color w:val="000000" w:themeColor="text1"/>
        </w:rPr>
        <w:t>Дезинфляционное</w:t>
      </w:r>
      <w:proofErr w:type="spellEnd"/>
      <w:r w:rsidRPr="00C76BC5">
        <w:rPr>
          <w:color w:val="000000" w:themeColor="text1"/>
        </w:rPr>
        <w:t xml:space="preserve"> влияние может оказать сохранение значительного профицита торгового баланса в условиях более устойчивого роста экспорта по сравнению с динамикой импорта.</w:t>
      </w:r>
    </w:p>
    <w:p w14:paraId="24CEA42A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Банк России будет принимать дальнейшие решения по ключевой ставке с учетом фактической и ожидаемой динамики инфляции относительно цели, процесса структурной перестройки экономики, а также оценивая риски со стороны внутренних и внешних условий и реакции на них финансовых рынков. Банк России будет оценивать целесообразность снижения ключевой ставки на ближайших заседаниях.</w:t>
      </w:r>
    </w:p>
    <w:p w14:paraId="267CA338" w14:textId="77777777" w:rsidR="00C76BC5" w:rsidRPr="00C76BC5" w:rsidRDefault="00C76BC5" w:rsidP="00C76BC5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C76BC5">
        <w:rPr>
          <w:color w:val="000000" w:themeColor="text1"/>
        </w:rPr>
        <w:t>Следующее заседание Совета директоров Банка России, на котором будет рассматриваться вопрос об уровне ключевой ставки, запланировано на 22 июля 2022 года. Время публикации пресс-релиза о решении Совета директоров Банка России и среднесрочного прогноза - 13:30 по московскому времени.</w:t>
      </w:r>
    </w:p>
    <w:p w14:paraId="50FE02B0" w14:textId="77777777" w:rsidR="006D32F1" w:rsidRPr="00C76BC5" w:rsidRDefault="006D32F1" w:rsidP="00C76BC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C7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905C94"/>
    <w:rsid w:val="00B96795"/>
    <w:rsid w:val="00C1291E"/>
    <w:rsid w:val="00C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C7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2022-06-13T05:21:00Z</dcterms:created>
  <dcterms:modified xsi:type="dcterms:W3CDTF">2022-06-13T05:21:00Z</dcterms:modified>
</cp:coreProperties>
</file>