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356E3" w14:textId="735E7828" w:rsidR="00C43ADC" w:rsidRPr="00C43ADC" w:rsidRDefault="00C43ADC" w:rsidP="00C43AD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ADC">
        <w:rPr>
          <w:rFonts w:ascii="Times New Roman" w:hAnsi="Times New Roman" w:cs="Times New Roman"/>
          <w:b/>
          <w:sz w:val="28"/>
          <w:szCs w:val="24"/>
        </w:rPr>
        <w:t>Письмо Федерального казначейства</w:t>
      </w:r>
    </w:p>
    <w:p w14:paraId="0A3486DA" w14:textId="77777777" w:rsidR="00C43ADC" w:rsidRPr="00C43ADC" w:rsidRDefault="00C43ADC" w:rsidP="00C43AD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D0D5B13" w14:textId="1C261777" w:rsidR="00C43ADC" w:rsidRPr="00C43ADC" w:rsidRDefault="00C43ADC" w:rsidP="00C43AD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ADC">
        <w:rPr>
          <w:rFonts w:ascii="Times New Roman" w:hAnsi="Times New Roman" w:cs="Times New Roman"/>
          <w:b/>
          <w:sz w:val="28"/>
          <w:szCs w:val="24"/>
        </w:rPr>
        <w:t>от 16.06.2022 г. № 07-04-05/14-</w:t>
      </w:r>
      <w:bookmarkStart w:id="0" w:name="_Hlk106792148"/>
      <w:bookmarkStart w:id="1" w:name="_GoBack"/>
      <w:r w:rsidRPr="00C43ADC">
        <w:rPr>
          <w:rFonts w:ascii="Times New Roman" w:hAnsi="Times New Roman" w:cs="Times New Roman"/>
          <w:b/>
          <w:sz w:val="28"/>
          <w:szCs w:val="24"/>
        </w:rPr>
        <w:t>14698</w:t>
      </w:r>
      <w:bookmarkEnd w:id="0"/>
      <w:bookmarkEnd w:id="1"/>
    </w:p>
    <w:p w14:paraId="7C5EE188" w14:textId="77777777" w:rsidR="00C43ADC" w:rsidRPr="00C43ADC" w:rsidRDefault="00C43ADC" w:rsidP="00C43AD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C26529C" w14:textId="522914BC" w:rsidR="00C43ADC" w:rsidRPr="00C43ADC" w:rsidRDefault="00C43ADC" w:rsidP="00C43AD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ADC">
        <w:rPr>
          <w:rFonts w:ascii="Times New Roman" w:hAnsi="Times New Roman" w:cs="Times New Roman"/>
          <w:b/>
          <w:sz w:val="28"/>
          <w:szCs w:val="24"/>
        </w:rPr>
        <w:t>"О применении Правил ведения реестра контрактов, заключенных заказчиками"</w:t>
      </w:r>
    </w:p>
    <w:p w14:paraId="78D3DAC9" w14:textId="77777777" w:rsidR="00C43ADC" w:rsidRP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82F83B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В связи с вопросами о применении Правил ведения реестра контрактов, заключенных заказчиками, утвержденных постановлением Правительства Российской Федерации от 27.01.2022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 (далее – Правила ведения реестра контрактов), Федеральное казначейство сообщает следующее. </w:t>
      </w:r>
    </w:p>
    <w:p w14:paraId="086A67D1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ADC">
        <w:rPr>
          <w:rFonts w:ascii="Times New Roman" w:hAnsi="Times New Roman" w:cs="Times New Roman"/>
          <w:b/>
          <w:sz w:val="24"/>
          <w:szCs w:val="24"/>
        </w:rPr>
        <w:t xml:space="preserve">1. В отношении проведения проверок информации о заключенном контракте в соответствии с Правилами ведения реестра контрактов. </w:t>
      </w:r>
    </w:p>
    <w:p w14:paraId="4E980CA8" w14:textId="3A2A6B7D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Перечень информации о заключенном контракте, подлежащей включению в реестр контрактов, указан в пункте 10 Правил ведения реестра контрактов. При этом подпунктом «д» пункта 18 Правил ведения реестра контрактов определены реквизиты, подлежащие проверке органом контроля на соответствие условиям контракта. </w:t>
      </w:r>
    </w:p>
    <w:p w14:paraId="35E95FC0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b/>
          <w:sz w:val="24"/>
          <w:szCs w:val="24"/>
        </w:rPr>
        <w:t>1.1. В части проверок реквизитов, подлежащих включению в реестр контрактов, но не являющихся обязательными для указания в контракте.</w:t>
      </w:r>
      <w:r w:rsidRPr="00C43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ECD21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Требования к содержанию контракта установлены законодательством о контрактной системе в сфере закупок, в том числе статьей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</w:t>
      </w:r>
    </w:p>
    <w:p w14:paraId="02415B22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>Вместе с тем Правилами ведения реестра контрактов предусмотрено включение в реестр контрактов, в том числе информации, не являющейся обязательной для указания в контракте. А именно: код организационной правовой формы заказчика, код и наименование позиции Общероссийского классификатора продукции по видам экономической деятельности (ОКПД2), размер аванса в денежном выражении, способ определения поставщика 2 (подрядчика, исполнителя), источник финансирования, в том числе код бюджетной классификации (далее – КБК), код видов расходов (КВР).</w:t>
      </w:r>
    </w:p>
    <w:p w14:paraId="79529B43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В связи с изложенным, такие реквизиты подлежат проверке на соответствие условиям контракта согласно Правилам ведения реестра контрактов только при их наличии в контракте. Следовательно, отсутствие в контракте данной информации не является основанием для формирования отрицательного результата проверки. </w:t>
      </w:r>
    </w:p>
    <w:p w14:paraId="3E501D63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Одновременно необходимо отметить, что в соответствии с положениями частей 5 и 5.1 статьи 99 Закона о контрактной системе осуществляется контроль за </w:t>
      </w:r>
      <w:proofErr w:type="spellStart"/>
      <w:r w:rsidRPr="00C43ADC">
        <w:rPr>
          <w:rFonts w:ascii="Times New Roman" w:hAnsi="Times New Roman" w:cs="Times New Roman"/>
          <w:sz w:val="24"/>
          <w:szCs w:val="24"/>
        </w:rPr>
        <w:t>непревышением</w:t>
      </w:r>
      <w:proofErr w:type="spellEnd"/>
      <w:r w:rsidRPr="00C43ADC">
        <w:rPr>
          <w:rFonts w:ascii="Times New Roman" w:hAnsi="Times New Roman" w:cs="Times New Roman"/>
          <w:sz w:val="24"/>
          <w:szCs w:val="24"/>
        </w:rPr>
        <w:t xml:space="preserve"> объема финансового обеспечения, включенного в планы-графики закупок, информации, содержащейся в таких планах-графиках над объемом финансового обеспечения для осуществления закупок, утвержденным и доведенным до заказчика, а также за </w:t>
      </w:r>
      <w:proofErr w:type="spellStart"/>
      <w:r w:rsidRPr="00C43ADC">
        <w:rPr>
          <w:rFonts w:ascii="Times New Roman" w:hAnsi="Times New Roman" w:cs="Times New Roman"/>
          <w:sz w:val="24"/>
          <w:szCs w:val="24"/>
        </w:rPr>
        <w:t>непревышением</w:t>
      </w:r>
      <w:proofErr w:type="spellEnd"/>
      <w:r w:rsidRPr="00C43ADC">
        <w:rPr>
          <w:rFonts w:ascii="Times New Roman" w:hAnsi="Times New Roman" w:cs="Times New Roman"/>
          <w:sz w:val="24"/>
          <w:szCs w:val="24"/>
        </w:rPr>
        <w:t xml:space="preserve"> объема финансового обеспечения для осуществления закупок, содержащихся в извещениях об осуществлении закупок, протоколах определения поставщиков (подрядчиков, исполнителей) и условиях проектов контрактов, направляемых в соответствии с Законом о контрактной системе с использованием единой </w:t>
      </w:r>
      <w:r w:rsidRPr="00C43AD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системы в сфере закупок (далее – ЕИС) участникам закупок, с которыми заключаются контракты. </w:t>
      </w:r>
    </w:p>
    <w:p w14:paraId="42D2278C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Кроме того, согласно пункту 14 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06.08.2020 № 1193 (далее – Правила осуществления контроля) проверка объема финансового обеспечения, включенного в план-график закупок, осуществляется в том числе по каждому КБК, в случае осуществления контроля в отношении заказчиков и лиц, указанных в подпунктах «а», «д», «е» и «к» пункта 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утвержденного постановлением Правительства Российской Федерации от 30 сентября 2019 г. № 1279 «О планах-графиках закупок и о признании утратившими силу отдельных решений Правительства Российской Федерации» (далее – Положение № 1279), а также в случае осуществления закупок лицами, указанными в подпунктах «б», «г», «ж» и «и» пункта 2 Положения № 1279 при осуществляемых ими закупок в целях реализации национальных и федеральных проектов, а также комплексного плана модернизации и расширения магистральной инфраструктуры. </w:t>
      </w:r>
    </w:p>
    <w:p w14:paraId="316216F6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Вместе с тем, обращаем внимание, что на основании подпункта «г» пункта 11 Правил осуществления контроля будет проводиться проверка 3 соответствия источника финансирования (КВР), объекту закупки, указанному в извещениях (приглашениях), проектах контрактов, направляемых участнику закупки в соответствии с Законом о контрактной системе с использованием ЕИС, проектах контрактов, направляемых участнику закупки в соответствии с Законом о контрактной системе без использования ЕИС (при осуществлении закупок у единственного поставщика (подрядчика, исполнителя) в случаях, предусмотренных пунктами 2, 3, 6, 7, 10-14, 16, 17, 19, 22, 31-33, 35, 37-39, 47, 48, 54, 55 части 1 статьи 93 Закона о контрактной системе), а также проектах соглашения об изменении условий контракта (в случае, если проектом соглашения об изменении условий контракта предусмотрено изменение в части объекта закупки, источника финансирования (кодов видов расходов классификации расходов бюджетов бюджетной системы Российской Федерации). </w:t>
      </w:r>
    </w:p>
    <w:p w14:paraId="75A11A2B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Из вышеизложенного следует, что КВР будет указываться в проекте контракта, направляемом участнику закупки с использованием ЕИС, в проекте контракта, направляемом участнику закупки без использования ЕИС (в случаях, предусмотренных пунктами 2, 3, 6, 7, 10-14, 16, 17, 19, 22, 31-33, 35, 37-39, 47, 48, 54, 55 части 1 статьи 93 Закона о контрактной системе), и соответственно в самом контракте в обязательном порядке. </w:t>
      </w:r>
    </w:p>
    <w:p w14:paraId="029E4AD7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b/>
          <w:sz w:val="24"/>
          <w:szCs w:val="24"/>
        </w:rPr>
        <w:t>1.2. В части проверок информации о размере обеспечения исполнения контракта, обеспечения гарантийных обязательств.</w:t>
      </w:r>
      <w:r w:rsidRPr="00C43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9190E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Информация об обеспечении исполнения контракта, обеспечении гарантийных обязательств (в случае установления требования об их предоставлении) подлежит проверке на соответствие условиям контракта в части указания размера такого обеспечения только в </w:t>
      </w:r>
      <w:r w:rsidRPr="00C43ADC">
        <w:rPr>
          <w:rFonts w:ascii="Times New Roman" w:hAnsi="Times New Roman" w:cs="Times New Roman"/>
          <w:sz w:val="24"/>
          <w:szCs w:val="24"/>
        </w:rPr>
        <w:lastRenderedPageBreak/>
        <w:t xml:space="preserve">случае внесения такого обеспечения в виде денежных средств (подпункт «д» пункта 18 Правил ведения реестра контрактов). </w:t>
      </w:r>
    </w:p>
    <w:p w14:paraId="16D886A6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Вместе с тем на основании части 8.1 статьи 96 Закона о контрактной системе при проведении открытых конкурентных способов определения поставщиков (подрядчиков, исполнителей), в которых участниками закупок являются только субъекты малого предпринимательства, социально ориентированные некоммерческие организации, участник закупки, с которым заключается контракт, освобождается от предоставления обеспечения исполнения контракта (в том числе с учетом положений статьи 37 Закона о контрактной системе), от обеспечения гарантийных обязательств в случае предоставления таким участником закупки соответствующей информации, содержащейся в реестре контрактов. При этом данная норма действует в силу Закона о контрактной системе и применяется независимо от того: есть ли в условиях контракта положение об освобождении от предоставления обеспечения исполнения контракта, обеспечения исполнения гарантийных обязательств, или его нет. </w:t>
      </w:r>
    </w:p>
    <w:p w14:paraId="523BD430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В данном случае, хотя условиями контракта и установлено требование о предоставлении обеспечения исполнения контракта, обеспечения гарантийных обязательств, фактически такое обеспечение не предоставляется 4 и, соответственно, информация о нем, в том числе о его размере, не включается в реестр контрактов. </w:t>
      </w:r>
    </w:p>
    <w:p w14:paraId="54032284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Кроме того, Правилами ведения реестра контрактов не предусмотрено включение в реестр контрактов информации об освобождении поставщика (подрядчика, исполнителя) от обеспечения исполнения контракта, обеспечения гарантийных обязательств. </w:t>
      </w:r>
    </w:p>
    <w:p w14:paraId="72C06950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В связи с изложенным, отсутствие в реестре контрактов информации об обеспечении исполнения контракта, обеспечении гарантийных обязательств в случае заключения контракта по результатам закупки, участниками которой являлись только субъекты малого предпринимательства, социально ориентированные некоммерческие организации, не является основанием для формирования отрицательного результата проверки. </w:t>
      </w:r>
    </w:p>
    <w:p w14:paraId="22EC4382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Дополнительно Федеральное казначейство обращает внимание, что несоответствие информации о размере обеспечения исполнения контракта, направляемой для включения в реестр контрактов, условиям контракта в связи с его предоставлением в увеличенном размере в силу положений статьи 37 Закона о контрактной системе также не является основанием для формирования отрицательного результата проверки, поскольку данная норма применяется независимо от того: имеется ли в контракте условие о предоставлении обеспечения исполнения контракта в увеличенном размере или его нет. </w:t>
      </w:r>
    </w:p>
    <w:p w14:paraId="1627D396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В остальных случаях несоответствия информации о размере обеспечения исполнения контракта, обеспечения гарантийных обязательств условиям контракта формируется отрицательный результат проверки. </w:t>
      </w:r>
    </w:p>
    <w:p w14:paraId="6ACC8794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b/>
          <w:sz w:val="24"/>
          <w:szCs w:val="24"/>
        </w:rPr>
        <w:t>1.3. В части проверки информации о размере аванса по контрактам на оказание коммунальных услуг.</w:t>
      </w:r>
      <w:r w:rsidRPr="00C43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5BA5D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В соответствии с подпунктом «и» пункта 10 Правил ведения реестра контрактов в реестр контрактов включается информация о размере аванса (если предусмотрена выплата аванса), о размере аванса в отношении каждого этапа исполнения контракта в виде процента цены соответствующего этапа (если контрактом предусмотрены его поэтапное исполнение и выплата аванса). </w:t>
      </w:r>
    </w:p>
    <w:p w14:paraId="10461E1B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Функционалом ЕИС предусмотрена возможность указания в реестре контрактов размера аванса как в процентном, так и в денежном выражении относительно цены контракта (с одновременным автоматическим пересчетом в денежное или процентное выражение соответственно). </w:t>
      </w:r>
    </w:p>
    <w:p w14:paraId="5B8C5E3D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lastRenderedPageBreak/>
        <w:t xml:space="preserve">При этом в отношении размера аванса по контрактам на оказание коммунальных услуг, в том числе заключаемых в соответствии с пунктам 1, 8, 29 части 1 статьи 93 Закона о контрактной системе, требованиями отраслевого законодательства установлены специальные порядки определения его размера, который может рассчитываться исходя из планового или фактического объема потребления услуг и в денежном выражении отличаться от периода к периоду, в котором должна осуществляться уплата аванса. </w:t>
      </w:r>
    </w:p>
    <w:p w14:paraId="0050E814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С учетом действующего функционала ЕИС, а также специального нормативного регулирования по определению размера аванса в указанных контрактах проверку соответствия сведений о размере аванса необходимо осуществлять только в части установленного размера в процентном выражении. </w:t>
      </w:r>
    </w:p>
    <w:p w14:paraId="54F21566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b/>
          <w:sz w:val="24"/>
          <w:szCs w:val="24"/>
        </w:rPr>
        <w:t>2. В отношении указания в реестре контрактов информации об агенте по сбору платежей, не являющемся стороной контракта.</w:t>
      </w:r>
      <w:r w:rsidRPr="00C43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7A1C1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Закона о контрактной системе контракт заключается между двумя сторонами: заказчиком и поставщиком (подрядчиком, исполнителем). </w:t>
      </w:r>
    </w:p>
    <w:p w14:paraId="6EA2DAB4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>Федеральным законом от 02.07.2021 № 360-ФЗ «О внесении изменений в отдельные законодательные акты Российской Федерации» в пункт 2 части 1 статьи 94 Закона о контрактной системе были внесены изменения, предусматривающие оплату поставленного товара, выполненной работы (ее результатов), оказанной услуги, а также отдельных этапов исполнения контракта, непосредственно поставщику (подрядчику, исполнителю).</w:t>
      </w:r>
    </w:p>
    <w:p w14:paraId="23503001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С учетом изложенного, законодательством о контрактной системе в сфере закупок не предусмотрено указание в контракте нескольких поставщиков (подрядчиков, исполнителей), а также оплата поставленного товара, выполненной работы (ее результатов), оказанной услуги иному лицу, не являющемуся стороной контракта. </w:t>
      </w:r>
    </w:p>
    <w:p w14:paraId="19337813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Кроме того, бюджетным законодательством Российской Федерации не определен порядок санкционирования оплаты денежных обязательств, возникающих из государственных (муниципальных) контрактов, третьему лицу, не являющемуся поставщиком (подрядчиком, исполнителем) по такому контракту. </w:t>
      </w:r>
    </w:p>
    <w:p w14:paraId="12B22A93" w14:textId="77777777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 xml:space="preserve">Данная позиция отражена в письмах Минфина России от 01.12.2020 №№ 24-01-06/104735, 24-03-08/104809. </w:t>
      </w:r>
    </w:p>
    <w:p w14:paraId="50FE02B0" w14:textId="5817F54F" w:rsidR="006D32F1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>Территориальным органам Федерального казначейства необходимо руководствоваться данными разъяснениями в работе, а также довести их до соответствующих финансовых органов.</w:t>
      </w:r>
    </w:p>
    <w:p w14:paraId="2A2AC279" w14:textId="45736F94" w:rsidR="00C43ADC" w:rsidRDefault="00C43ADC" w:rsidP="00C43AD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3543A9" w14:textId="77777777" w:rsidR="00C43ADC" w:rsidRPr="00C43ADC" w:rsidRDefault="00C43ADC" w:rsidP="00C43AD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3AD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43ADC">
        <w:rPr>
          <w:rFonts w:ascii="Times New Roman" w:hAnsi="Times New Roman" w:cs="Times New Roman"/>
          <w:sz w:val="24"/>
          <w:szCs w:val="24"/>
        </w:rPr>
        <w:t xml:space="preserve">. руководителя </w:t>
      </w:r>
    </w:p>
    <w:p w14:paraId="788C4F83" w14:textId="5D5BDCDF" w:rsidR="00C43ADC" w:rsidRPr="00C43ADC" w:rsidRDefault="00C43ADC" w:rsidP="00C43ADC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ADC">
        <w:rPr>
          <w:rFonts w:ascii="Times New Roman" w:hAnsi="Times New Roman" w:cs="Times New Roman"/>
          <w:sz w:val="24"/>
          <w:szCs w:val="24"/>
        </w:rPr>
        <w:t>Э.А. Исаев</w:t>
      </w:r>
    </w:p>
    <w:sectPr w:rsidR="00C43ADC" w:rsidRPr="00C4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C43ADC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43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2022-06-22T07:09:00Z</dcterms:created>
  <dcterms:modified xsi:type="dcterms:W3CDTF">2022-06-22T07:09:00Z</dcterms:modified>
</cp:coreProperties>
</file>