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МИНИСТЕРСТВО ФИНАНСОВ РОССИЙСКОЙ ФЕДЕРАЦИИ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ПИСЬМО 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kern w:val="0"/>
          <w:sz w:val="24"/>
          <w:szCs w:val="24"/>
          <w:lang w:val="en-US" w:eastAsia="zh-CN" w:bidi="ar"/>
        </w:rPr>
        <w:t xml:space="preserve">от 3 ноября 2022 г. N 02-17-08/107505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</w:t>
      </w:r>
      <w:bookmarkStart w:id="0" w:name="_GoBack"/>
      <w:bookmarkEnd w:id="0"/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ассмотрел обращение Муниципального казенного учреждения от 06.10.2022 по вопросу разъяснения положений нормативных правовых актов, регулирующих казначейское сопровождение, и сообщает следующее.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В 2022 году казначейское сопровождение осуществляется в соответствии с положениями главы 24.4 Бюджетного кодекса Российской Федерации (далее - Бюджетный кодекс).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Статьей 242.26 Бюджетного кодекса установлено, что средства, подлежащие казначейскому сопровождению, источником финансового обеспечения которых являются средства бюджета субъекта Российской Федерации, определяются в том числе Федеральным законом от 06.12.2021 N 390-ФЗ "О федеральном бюджете на 2022 год и на плановый период 2023 и 2024 годов" (далее - Федеральный закон N 390-ФЗ).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Пунктом 2 части 3 статьи 5 Федерального закона N 390-ФЗ установлено, что казначейскому сопровождению в том числе подлежат субсидии юридическим лицам, источником финансового обеспечения которых являются бюджетные кредиты, предоставляемые из федерального бюджета бюджету субъекта Российской Федерации, на финансовое обеспечение реализации инфраструктурных проектов, правилами &lt;1&gt; предоставления которых предусмотрены условия об осуществлении Федеральным казначейством казначейского сопровождения указанных средств, а также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договоров (соглашений) о предоставлении указанных субсидий (далее соответственно - бюджетный кредит, контракты (договоры)).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Абзацем вторым подпункта 1 статьи 242.27 Бюджетного кодекса установлено, что казначейскому сопровождению не подлежат средства, предоставляемые юридическим лицам, индивидуальным предпринимателям, физическим лицам - производителям товаров, работ, услуг в том числе на основании контрактов (договоров), заключаемых в целях осуществления работ по технологическому присоединению принадлежащих участникам казначейского сопровождения инженерных сетей, коммуникаций, сооружений (далее - работы по технологическому присоединению). 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/>
          <w:b w:val="0"/>
          <w:bCs w:val="0"/>
          <w:kern w:val="0"/>
          <w:sz w:val="24"/>
          <w:szCs w:val="24"/>
          <w:lang w:val="en-US" w:eastAsia="zh-CN"/>
        </w:rPr>
        <w:t xml:space="preserve">Учитывая изложенное, по мнению Департамента, контракты (договоры), заключаемые в целях осуществления работ по технологическому присоединению, источником финансового обеспечения которых являются средства бюджетного кредита, не подлежат казначейскому сопровождению.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Директор Департамента </w:t>
      </w:r>
    </w:p>
    <w:p>
      <w:pPr>
        <w:keepNext w:val="0"/>
        <w:keepLines w:val="0"/>
        <w:widowControl/>
        <w:suppressLineNumbers w:val="0"/>
        <w:spacing w:line="24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С.В.РОМАНОВ 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03.11.2022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2F6F"/>
    <w:rsid w:val="6F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2022-12-06T05:48:00Z</dcterms:created>
  <dc:creator>rahma</dc:creator>
  <cp:lastModifiedBy>rahma</cp:lastModifiedBy>
  <dcterms:modified xsi:type="dcterms:W3CDTF">2022-12-06T05:50:46Z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699E842A794E466DA579F504297E596F</vt:lpwstr>
  </property>
</Properties>
</file>