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SimSun" w:cs="Times New Roman"/>
          <w:b/>
          <w:bCs/>
          <w:kern w:val="0"/>
          <w:sz w:val="24"/>
          <w:szCs w:val="24"/>
          <w:lang w:val="en-US" w:eastAsia="zh-CN"/>
        </w:rPr>
      </w:pPr>
      <w:r>
        <w:rPr>
          <w:rFonts w:hint="default" w:ascii="Times New Roman" w:hAnsi="Times New Roman" w:eastAsia="SimSun" w:cs="Times New Roman"/>
          <w:b/>
          <w:bCs/>
          <w:kern w:val="0"/>
          <w:sz w:val="24"/>
          <w:szCs w:val="24"/>
          <w:lang w:val="en-US" w:eastAsia="zh-CN"/>
        </w:rPr>
        <w:t>ПИСЬМО</w:t>
      </w:r>
    </w:p>
    <w:p>
      <w:pPr>
        <w:jc w:val="center"/>
        <w:rPr>
          <w:rFonts w:hint="default" w:ascii="Times New Roman" w:hAnsi="Times New Roman" w:eastAsia="SimSun" w:cs="Times New Roman"/>
          <w:b/>
          <w:bCs/>
          <w:kern w:val="0"/>
          <w:sz w:val="24"/>
          <w:szCs w:val="24"/>
          <w:lang w:val="en-US" w:eastAsia="zh-CN"/>
        </w:rPr>
      </w:pPr>
      <w:r>
        <w:rPr>
          <w:rFonts w:hint="default" w:ascii="Times New Roman" w:hAnsi="Times New Roman" w:eastAsia="SimSun" w:cs="Times New Roman"/>
          <w:b/>
          <w:bCs/>
          <w:kern w:val="0"/>
          <w:sz w:val="24"/>
          <w:szCs w:val="24"/>
          <w:lang w:val="en-US" w:eastAsia="zh-CN"/>
        </w:rPr>
        <w:t>от 31 октября 2022 г. N 02-12-10/106003</w:t>
      </w:r>
    </w:p>
    <w:p>
      <w:pPr>
        <w:rPr>
          <w:rFonts w:hint="default" w:ascii="Arial" w:hAnsi="Arial" w:eastAsia="SimSun"/>
          <w:b/>
          <w:bCs/>
          <w:kern w:val="0"/>
          <w:sz w:val="24"/>
          <w:szCs w:val="24"/>
          <w:lang w:val="en-US" w:eastAsia="zh-CN"/>
        </w:rPr>
      </w:pPr>
      <w:r>
        <w:rPr>
          <w:rFonts w:hint="default" w:ascii="Arial" w:hAnsi="Arial" w:eastAsia="SimSun"/>
          <w:b/>
          <w:bCs/>
          <w:kern w:val="0"/>
          <w:sz w:val="24"/>
          <w:szCs w:val="24"/>
          <w:lang w:val="en-US" w:eastAsia="zh-CN"/>
        </w:rPr>
        <w:t xml:space="preserve">  </w:t>
      </w:r>
    </w:p>
    <w:p>
      <w:pPr>
        <w:ind w:left="0" w:leftChars="0" w:firstLine="998" w:firstLineChars="416"/>
        <w:jc w:val="both"/>
        <w:rPr>
          <w:rFonts w:hint="default" w:ascii="Times New Roman" w:hAnsi="Times New Roman" w:eastAsia="SimSun" w:cs="Times New Roman"/>
          <w:b w:val="0"/>
          <w:bCs w:val="0"/>
          <w:kern w:val="0"/>
          <w:sz w:val="24"/>
          <w:szCs w:val="24"/>
          <w:lang w:val="en-US" w:eastAsia="zh-CN"/>
        </w:rPr>
      </w:pPr>
      <w:r>
        <w:rPr>
          <w:rFonts w:hint="default" w:ascii="Times New Roman" w:hAnsi="Times New Roman" w:eastAsia="SimSun" w:cs="Times New Roman"/>
          <w:b w:val="0"/>
          <w:bCs w:val="0"/>
          <w:kern w:val="0"/>
          <w:sz w:val="24"/>
          <w:szCs w:val="24"/>
          <w:lang w:val="en-US" w:eastAsia="zh-CN"/>
        </w:rPr>
        <w:t xml:space="preserve">Министерство финансов Российской Федерации рассмотрело обращение от 3 октября 2022 г. по вопросу перечисления средств с лицевого счета участника казначейского сопровождения, открытого исполнителю по государственному контракту в финансовом органе субъекта Российской Федерации, на расчетный счет, открытый в кредитной организации исполнителю по контракту (договору), заключенному на сумму менее 50 млн рублей в рамках исполнения государственного контракта, в целях оплаты обязательств по контракту (договору) (далее - лицевой счет, контракт (договор)), и сообщает следующее. </w:t>
      </w:r>
    </w:p>
    <w:p>
      <w:pPr>
        <w:ind w:left="0" w:leftChars="0" w:firstLine="998" w:firstLineChars="416"/>
        <w:jc w:val="both"/>
        <w:rPr>
          <w:rFonts w:hint="default" w:ascii="Times New Roman" w:hAnsi="Times New Roman" w:eastAsia="SimSun" w:cs="Times New Roman"/>
          <w:b w:val="0"/>
          <w:bCs w:val="0"/>
          <w:kern w:val="0"/>
          <w:sz w:val="24"/>
          <w:szCs w:val="24"/>
          <w:lang w:val="en-US" w:eastAsia="zh-CN"/>
        </w:rPr>
      </w:pPr>
      <w:r>
        <w:rPr>
          <w:rFonts w:hint="default" w:ascii="Times New Roman" w:hAnsi="Times New Roman" w:eastAsia="SimSun" w:cs="Times New Roman"/>
          <w:b w:val="0"/>
          <w:bCs w:val="0"/>
          <w:kern w:val="0"/>
          <w:sz w:val="24"/>
          <w:szCs w:val="24"/>
          <w:lang w:val="en-US" w:eastAsia="zh-CN"/>
        </w:rPr>
        <w:t xml:space="preserve">В соответствии с Положением о Министерстве финансов Российской Федерации, утвержденным постановлением Правительства Российской Федерации от 30 июня 2004 г. N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однако Минфину России не предоставлено право официального толкования законодательных или иных нормативных правовых актов. </w:t>
      </w:r>
    </w:p>
    <w:p>
      <w:pPr>
        <w:ind w:left="0" w:leftChars="0" w:firstLine="998" w:firstLineChars="416"/>
        <w:jc w:val="both"/>
        <w:rPr>
          <w:rFonts w:hint="default" w:ascii="Times New Roman" w:hAnsi="Times New Roman" w:eastAsia="SimSun" w:cs="Times New Roman"/>
          <w:b w:val="0"/>
          <w:bCs w:val="0"/>
          <w:kern w:val="0"/>
          <w:sz w:val="24"/>
          <w:szCs w:val="24"/>
          <w:lang w:val="en-US" w:eastAsia="zh-CN"/>
        </w:rPr>
      </w:pPr>
      <w:r>
        <w:rPr>
          <w:rFonts w:hint="default" w:ascii="Times New Roman" w:hAnsi="Times New Roman" w:eastAsia="SimSun" w:cs="Times New Roman"/>
          <w:b w:val="0"/>
          <w:bCs w:val="0"/>
          <w:kern w:val="0"/>
          <w:sz w:val="24"/>
          <w:szCs w:val="24"/>
          <w:lang w:val="en-US" w:eastAsia="zh-CN"/>
        </w:rPr>
        <w:t xml:space="preserve">Согласно пункту 11.8 Регламента Министерства финансов Российской Федерации, утвержденного приказом Министерства финансов Российской Федерации от 14 сентября 2018 г. N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а также толкование норм, терминов и понятий по обращениям организаций, за исключением случаев, если на него возложена соответствующая обязанность. </w:t>
      </w:r>
    </w:p>
    <w:p>
      <w:pPr>
        <w:ind w:left="0" w:leftChars="0" w:firstLine="998" w:firstLineChars="416"/>
        <w:jc w:val="both"/>
        <w:rPr>
          <w:rFonts w:hint="default" w:ascii="Times New Roman" w:hAnsi="Times New Roman" w:eastAsia="SimSun" w:cs="Times New Roman"/>
          <w:b w:val="0"/>
          <w:bCs w:val="0"/>
          <w:kern w:val="0"/>
          <w:sz w:val="24"/>
          <w:szCs w:val="24"/>
          <w:lang w:val="en-US" w:eastAsia="zh-CN"/>
        </w:rPr>
      </w:pPr>
      <w:r>
        <w:rPr>
          <w:rFonts w:hint="default" w:ascii="Times New Roman" w:hAnsi="Times New Roman" w:eastAsia="SimSun" w:cs="Times New Roman"/>
          <w:b w:val="0"/>
          <w:bCs w:val="0"/>
          <w:kern w:val="0"/>
          <w:sz w:val="24"/>
          <w:szCs w:val="24"/>
          <w:lang w:val="en-US" w:eastAsia="zh-CN"/>
        </w:rPr>
        <w:t xml:space="preserve">Статьей 242.26 Бюджетного кодекса Российской Федерации (далее - Бюджетный кодекс) установлено, что казначейскому сопровождению в соответствии с пунктом 5 статьи 242.23 Бюджетного кодекса подлежат средства, предоставляемые из бюджета субъекта Российской Федерации, определенные в том числе законом субъекта Российской Федерации о бюджете субъекта Российской Федерации. </w:t>
      </w:r>
    </w:p>
    <w:p>
      <w:pPr>
        <w:ind w:left="0" w:leftChars="0" w:firstLine="998" w:firstLineChars="416"/>
        <w:jc w:val="both"/>
        <w:rPr>
          <w:rFonts w:hint="default" w:ascii="Times New Roman" w:hAnsi="Times New Roman" w:eastAsia="SimSun" w:cs="Times New Roman"/>
          <w:b w:val="0"/>
          <w:bCs w:val="0"/>
          <w:kern w:val="0"/>
          <w:sz w:val="24"/>
          <w:szCs w:val="24"/>
          <w:lang w:val="en-US" w:eastAsia="zh-CN"/>
        </w:rPr>
      </w:pPr>
      <w:r>
        <w:rPr>
          <w:rFonts w:hint="default" w:ascii="Times New Roman" w:hAnsi="Times New Roman" w:eastAsia="SimSun" w:cs="Times New Roman"/>
          <w:b w:val="0"/>
          <w:bCs w:val="0"/>
          <w:kern w:val="0"/>
          <w:sz w:val="24"/>
          <w:szCs w:val="24"/>
          <w:lang w:val="en-US" w:eastAsia="zh-CN"/>
        </w:rPr>
        <w:t xml:space="preserve">Положениями статьи 11 Закона Республики Башкортостан от 20 декабря 2021 года N 486-з "О бюджете Республики Башкортостан на 2022 год и на плановый период 2023 и 2024 годов" определены средства, подлежащие казначейскому сопровождению, в том числе расчеты по государственным контрактам (договорам) о поставке товаров, выполнении работ, оказании услуг, заключаемым на сумму 50 000 000,00 рублей и более, а также расчеты по контрактам (договорам), заключаемым в целях исполнения указанных государственных контрактов на сумму 50 000 000,00 рублей и более. </w:t>
      </w:r>
    </w:p>
    <w:p>
      <w:pPr>
        <w:ind w:left="0" w:leftChars="0" w:firstLine="998" w:firstLineChars="416"/>
        <w:jc w:val="both"/>
        <w:rPr>
          <w:rFonts w:hint="default" w:ascii="Times New Roman" w:hAnsi="Times New Roman" w:eastAsia="SimSun" w:cs="Times New Roman"/>
          <w:b w:val="0"/>
          <w:bCs w:val="0"/>
          <w:kern w:val="0"/>
          <w:sz w:val="24"/>
          <w:szCs w:val="24"/>
          <w:lang w:val="en-US" w:eastAsia="zh-CN"/>
        </w:rPr>
      </w:pPr>
      <w:r>
        <w:rPr>
          <w:rFonts w:hint="default" w:ascii="Times New Roman" w:hAnsi="Times New Roman" w:eastAsia="SimSun" w:cs="Times New Roman"/>
          <w:b w:val="0"/>
          <w:bCs w:val="0"/>
          <w:kern w:val="0"/>
          <w:sz w:val="24"/>
          <w:szCs w:val="24"/>
          <w:lang w:val="en-US" w:eastAsia="zh-CN"/>
        </w:rPr>
        <w:t xml:space="preserve">Учитывая изложенное, расчеты по контрактам (договорам), заключаемым на сумму менее 50 млн рублей, не подлежат казначейскому сопровождению. </w:t>
      </w:r>
    </w:p>
    <w:p>
      <w:pPr>
        <w:ind w:left="0" w:leftChars="0" w:firstLine="998" w:firstLineChars="416"/>
        <w:jc w:val="both"/>
        <w:rPr>
          <w:rFonts w:hint="default" w:ascii="Times New Roman" w:hAnsi="Times New Roman" w:eastAsia="SimSun" w:cs="Times New Roman"/>
          <w:b w:val="0"/>
          <w:bCs w:val="0"/>
          <w:kern w:val="0"/>
          <w:sz w:val="24"/>
          <w:szCs w:val="24"/>
          <w:lang w:val="en-US" w:eastAsia="zh-CN"/>
        </w:rPr>
      </w:pPr>
      <w:r>
        <w:rPr>
          <w:rFonts w:hint="default" w:ascii="Times New Roman" w:hAnsi="Times New Roman" w:eastAsia="SimSun" w:cs="Times New Roman"/>
          <w:b w:val="0"/>
          <w:bCs w:val="0"/>
          <w:kern w:val="0"/>
          <w:sz w:val="24"/>
          <w:szCs w:val="24"/>
          <w:lang w:val="en-US" w:eastAsia="zh-CN"/>
        </w:rPr>
        <w:t xml:space="preserve">Оплата обязательств по такому контракту (договору) осуществляется путем перечисления средств с лицевого счета, открытого исполнителю по государственному контракту, на расчетный счет, открытый исполнителю по контракту (договору) в кредитной организации, при представлении в финансовый орган субъекта Российской Федерации документов, подтверждающих исполнение обязательств по контракту (договору). </w:t>
      </w:r>
    </w:p>
    <w:p>
      <w:pPr>
        <w:ind w:left="0" w:leftChars="0" w:firstLine="998" w:firstLineChars="416"/>
        <w:jc w:val="both"/>
        <w:rPr>
          <w:rFonts w:hint="default" w:ascii="Times New Roman" w:hAnsi="Times New Roman" w:eastAsia="SimSun" w:cs="Times New Roman"/>
          <w:b w:val="0"/>
          <w:bCs w:val="0"/>
          <w:kern w:val="0"/>
          <w:sz w:val="24"/>
          <w:szCs w:val="24"/>
          <w:lang w:val="en-US" w:eastAsia="zh-CN"/>
        </w:rPr>
      </w:pPr>
      <w:r>
        <w:rPr>
          <w:rFonts w:hint="default" w:ascii="Times New Roman" w:hAnsi="Times New Roman" w:eastAsia="SimSun" w:cs="Times New Roman"/>
          <w:b w:val="0"/>
          <w:bCs w:val="0"/>
          <w:kern w:val="0"/>
          <w:sz w:val="24"/>
          <w:szCs w:val="24"/>
          <w:lang w:val="en-US" w:eastAsia="zh-CN"/>
        </w:rPr>
        <w:t xml:space="preserve">Частью 42 статьи 10 Федерального закона N 384-ФЗ &lt;1&gt; (в редакции Федерального закона N 146-ФЗ &lt;2&gt;) установлено, что в 2022 году законом субъекта Российской Федерации о бюджете субъекта Российской Федерации (муниципальным правовым актом представительного органа муниципального образования о местном бюджете) или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могут быть определены средства, подлежащие казначейскому сопровождению, предоставляемые из бюджета субъекта Российской Федерации (местного бюджета) на основании заключаемых на сумму менее 50 миллионов рублей государственных (муниципальных) контрактов, контрактов (договоров) бюджетных или автономных учреждений субъектов Российской Федерации (муниципальных бюджетных или автономных учреждений). </w:t>
      </w:r>
    </w:p>
    <w:p>
      <w:pPr>
        <w:ind w:left="0" w:leftChars="0" w:firstLine="998" w:firstLineChars="416"/>
        <w:jc w:val="both"/>
        <w:rPr>
          <w:rFonts w:hint="default" w:ascii="Times New Roman" w:hAnsi="Times New Roman" w:eastAsia="SimSun" w:cs="Times New Roman"/>
          <w:b w:val="0"/>
          <w:bCs w:val="0"/>
          <w:kern w:val="0"/>
          <w:sz w:val="24"/>
          <w:szCs w:val="24"/>
          <w:lang w:val="en-US" w:eastAsia="zh-CN"/>
        </w:rPr>
      </w:pPr>
      <w:r>
        <w:rPr>
          <w:rFonts w:hint="default" w:ascii="Times New Roman" w:hAnsi="Times New Roman" w:eastAsia="SimSun" w:cs="Times New Roman"/>
          <w:b w:val="0"/>
          <w:bCs w:val="0"/>
          <w:kern w:val="0"/>
          <w:sz w:val="24"/>
          <w:szCs w:val="24"/>
          <w:lang w:val="en-US" w:eastAsia="zh-CN"/>
        </w:rPr>
        <w:t xml:space="preserve">  </w:t>
      </w:r>
    </w:p>
    <w:p>
      <w:pPr>
        <w:ind w:left="0" w:leftChars="0" w:firstLine="998" w:firstLineChars="416"/>
        <w:jc w:val="right"/>
        <w:rPr>
          <w:rFonts w:hint="default" w:ascii="Times New Roman" w:hAnsi="Times New Roman" w:eastAsia="SimSun" w:cs="Times New Roman"/>
          <w:b w:val="0"/>
          <w:bCs w:val="0"/>
          <w:kern w:val="0"/>
          <w:sz w:val="24"/>
          <w:szCs w:val="24"/>
          <w:lang w:val="en-US" w:eastAsia="zh-CN"/>
        </w:rPr>
      </w:pPr>
      <w:r>
        <w:rPr>
          <w:rFonts w:hint="default" w:ascii="Times New Roman" w:hAnsi="Times New Roman" w:eastAsia="SimSun" w:cs="Times New Roman"/>
          <w:b w:val="0"/>
          <w:bCs w:val="0"/>
          <w:kern w:val="0"/>
          <w:sz w:val="24"/>
          <w:szCs w:val="24"/>
          <w:lang w:val="en-US" w:eastAsia="zh-CN"/>
        </w:rPr>
        <w:t xml:space="preserve">А.М.ЛАВРОВ </w:t>
      </w:r>
    </w:p>
    <w:p>
      <w:pPr>
        <w:jc w:val="left"/>
        <w:rPr>
          <w:rFonts w:hint="default" w:ascii="Times New Roman" w:hAnsi="Times New Roman" w:cs="Times New Roman"/>
          <w:b w:val="0"/>
          <w:bCs w:val="0"/>
          <w:sz w:val="24"/>
          <w:szCs w:val="24"/>
        </w:rPr>
      </w:pPr>
      <w:bookmarkStart w:id="0" w:name="_GoBack"/>
      <w:bookmarkEnd w:id="0"/>
      <w:r>
        <w:rPr>
          <w:rFonts w:hint="default" w:ascii="Times New Roman" w:hAnsi="Times New Roman" w:eastAsia="SimSun" w:cs="Times New Roman"/>
          <w:b w:val="0"/>
          <w:bCs w:val="0"/>
          <w:kern w:val="0"/>
          <w:sz w:val="24"/>
          <w:szCs w:val="24"/>
          <w:lang w:val="en-US" w:eastAsia="zh-CN"/>
        </w:rPr>
        <w:t xml:space="preserve">31.10.2022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913ED"/>
    <w:rsid w:val="1DF91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2022-12-06T06:24:00Z</dcterms:created>
  <dc:creator>rahma</dc:creator>
  <cp:lastModifiedBy>rahma</cp:lastModifiedBy>
  <dcterms:modified xsi:type="dcterms:W3CDTF">2022-12-06T06:28:19Z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696E111EACFF4FA9A867751523D7ED40</vt:lpwstr>
  </property>
</Properties>
</file>