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00" w:leftChars="-400" w:firstLine="802" w:firstLineChars="333"/>
        <w:jc w:val="center"/>
        <w:rPr>
          <w:rFonts w:hint="default" w:ascii="Times New Roman" w:hAnsi="Times New Roman" w:cs="Times New Roman"/>
          <w:b/>
          <w:bCs/>
          <w:sz w:val="24"/>
          <w:szCs w:val="24"/>
        </w:rPr>
      </w:pPr>
      <w:bookmarkStart w:id="0" w:name="_GoBack"/>
      <w:r>
        <w:rPr>
          <w:rFonts w:hint="default" w:ascii="Times New Roman" w:hAnsi="Times New Roman" w:cs="Times New Roman"/>
          <w:b/>
          <w:bCs/>
          <w:sz w:val="24"/>
          <w:szCs w:val="24"/>
        </w:rPr>
        <w:t>МИНИСТЕРСТВО ФИНАНСОВ РОССИЙСКОЙ ФЕДЕРАЦИИ</w:t>
      </w:r>
    </w:p>
    <w:p>
      <w:pPr>
        <w:ind w:left="-800" w:leftChars="-400" w:firstLine="802" w:firstLineChars="333"/>
        <w:jc w:val="center"/>
        <w:rPr>
          <w:rFonts w:hint="default" w:ascii="Times New Roman" w:hAnsi="Times New Roman" w:cs="Times New Roman"/>
          <w:b/>
          <w:bCs/>
          <w:sz w:val="24"/>
          <w:szCs w:val="24"/>
        </w:rPr>
      </w:pPr>
    </w:p>
    <w:p>
      <w:pPr>
        <w:ind w:left="-800" w:leftChars="-400" w:firstLine="802" w:firstLineChars="333"/>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ПИСЬМО</w:t>
      </w:r>
    </w:p>
    <w:p>
      <w:pPr>
        <w:ind w:left="-800" w:leftChars="-400" w:firstLine="802" w:firstLineChars="333"/>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от 10 ноября 2022 г. N 02-06-10/109704</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обращение Государственного казенного учреждения от 07.10.2022 (далее - запрос) по вопросу отражения в бюджетном учете операций по безвозмездной передаче имущества, приобретенного согласно государственному контракту за счет средств бюджета субъекта Российской Федерации, муниципальным учреждениям и сообщает.</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Министерство финансов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 практик их применения, а также оценки конкретных хозяйственных операций.</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Вместе с тем Департамент обращает внимание на следующее.</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При отражении в бюджетном учете операций по безвозмездной передаче имущества следует руководствоваться положениями федеральных стандартов бухгалтерского учета государственных финансов,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01.10.2010 N 157н, Инструкции по применению Плана счетов бюджетного учета, утвержденной приказом Министерства финансов Российской Федерации от 06.12.2010 N 162н (далее - Инструкция N 162н), методическими указаниями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Министерства финансов Российской Федерации от 30.03.2015 N 52н, методическими указаниями по применению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утвержденными приказом Министерства финансов Российской Федерации от 15.04.2021 N 61н.</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Согласно информации, предоставленной в рабочем порядке при рассмотрении запроса, уполномоченный орган субъекта Российской Федерации (учреждение-заказчик) за счет средств бюджета субъекта Российской Федерации приобретает объекты нефинансовых активов в целях их дальнейшей передачи муниципальным образованиям и закрепления на праве оперативного управления за муниципальными казенными учреждениями, которые согласно условиям заключенного государственного контракта являются прямыми грузополучателями закупаемого имущества.</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Отражение в бюджетном учете операций по передаче (получению) объектов нефинансовых активов, приобретенных по государственному контракту, в рамках межбюджетных расчетов осуществляется в соответствии с положениями Инструкции N 162н (с отражением по соответствующим счетам аналитического учета счета 0 100 00 000 "Нефинансовые активы") с учетом разъяснений Министерства финансов Российской Федерации, направленных письмом от 27.09.2022 N 02-07-07/93188 "О порядке отражения в бухгалтерском учете безвозмездных неденежных поступлений и передач".</w:t>
      </w:r>
    </w:p>
    <w:p>
      <w:pPr>
        <w:ind w:left="-800" w:leftChars="-400" w:firstLine="799" w:firstLineChars="333"/>
        <w:jc w:val="both"/>
        <w:rPr>
          <w:rFonts w:hint="default" w:ascii="Times New Roman" w:hAnsi="Times New Roman" w:cs="Times New Roman"/>
          <w:sz w:val="24"/>
          <w:szCs w:val="24"/>
        </w:rPr>
      </w:pPr>
      <w:r>
        <w:rPr>
          <w:rFonts w:hint="default" w:ascii="Times New Roman" w:hAnsi="Times New Roman" w:cs="Times New Roman"/>
          <w:sz w:val="24"/>
          <w:szCs w:val="24"/>
        </w:rPr>
        <w:t> </w:t>
      </w:r>
    </w:p>
    <w:p>
      <w:pPr>
        <w:ind w:left="-800" w:leftChars="-400" w:firstLine="799" w:firstLineChars="333"/>
        <w:jc w:val="right"/>
        <w:rPr>
          <w:rFonts w:hint="default" w:ascii="Times New Roman" w:hAnsi="Times New Roman" w:cs="Times New Roman"/>
          <w:sz w:val="24"/>
          <w:szCs w:val="24"/>
        </w:rPr>
      </w:pPr>
      <w:r>
        <w:rPr>
          <w:rFonts w:hint="default" w:ascii="Times New Roman" w:hAnsi="Times New Roman" w:cs="Times New Roman"/>
          <w:sz w:val="24"/>
          <w:szCs w:val="24"/>
        </w:rPr>
        <w:t>Заместитель директора Департамента</w:t>
      </w:r>
    </w:p>
    <w:p>
      <w:pPr>
        <w:ind w:left="-800" w:leftChars="-400" w:firstLine="799" w:firstLineChars="333"/>
        <w:jc w:val="right"/>
        <w:rPr>
          <w:rFonts w:hint="default" w:ascii="Times New Roman" w:hAnsi="Times New Roman" w:cs="Times New Roman"/>
          <w:sz w:val="24"/>
          <w:szCs w:val="24"/>
        </w:rPr>
      </w:pPr>
      <w:r>
        <w:rPr>
          <w:rFonts w:hint="default" w:ascii="Times New Roman" w:hAnsi="Times New Roman" w:cs="Times New Roman"/>
          <w:sz w:val="24"/>
          <w:szCs w:val="24"/>
        </w:rPr>
        <w:t>бюджетной методологии</w:t>
      </w:r>
    </w:p>
    <w:p>
      <w:pPr>
        <w:ind w:left="-800" w:leftChars="-400" w:firstLine="799" w:firstLineChars="333"/>
        <w:jc w:val="right"/>
        <w:rPr>
          <w:rFonts w:hint="default" w:ascii="Times New Roman" w:hAnsi="Times New Roman" w:cs="Times New Roman"/>
          <w:sz w:val="24"/>
          <w:szCs w:val="24"/>
        </w:rPr>
      </w:pPr>
      <w:r>
        <w:rPr>
          <w:rFonts w:hint="default" w:ascii="Times New Roman" w:hAnsi="Times New Roman" w:cs="Times New Roman"/>
          <w:sz w:val="24"/>
          <w:szCs w:val="24"/>
        </w:rPr>
        <w:t>и финансовой отчетности</w:t>
      </w:r>
    </w:p>
    <w:p>
      <w:pPr>
        <w:ind w:left="-800" w:leftChars="-400" w:firstLine="799" w:firstLineChars="333"/>
        <w:jc w:val="right"/>
        <w:rPr>
          <w:rFonts w:hint="default" w:ascii="Times New Roman" w:hAnsi="Times New Roman" w:cs="Times New Roman"/>
          <w:sz w:val="24"/>
          <w:szCs w:val="24"/>
        </w:rPr>
      </w:pPr>
      <w:r>
        <w:rPr>
          <w:rFonts w:hint="default" w:ascii="Times New Roman" w:hAnsi="Times New Roman" w:cs="Times New Roman"/>
          <w:sz w:val="24"/>
          <w:szCs w:val="24"/>
        </w:rPr>
        <w:t>в государственном секторе</w:t>
      </w:r>
    </w:p>
    <w:p>
      <w:pPr>
        <w:ind w:left="-800" w:leftChars="-400" w:firstLine="799" w:firstLineChars="333"/>
        <w:jc w:val="right"/>
        <w:rPr>
          <w:rFonts w:hint="default" w:ascii="Times New Roman" w:hAnsi="Times New Roman" w:cs="Times New Roman"/>
          <w:sz w:val="24"/>
          <w:szCs w:val="24"/>
        </w:rPr>
      </w:pPr>
      <w:r>
        <w:rPr>
          <w:rFonts w:hint="default" w:ascii="Times New Roman" w:hAnsi="Times New Roman" w:cs="Times New Roman"/>
          <w:sz w:val="24"/>
          <w:szCs w:val="24"/>
        </w:rPr>
        <w:t>С.В.СИВЕЦ</w:t>
      </w:r>
    </w:p>
    <w:p>
      <w:pPr>
        <w:ind w:left="-800" w:leftChars="-400" w:firstLine="799" w:firstLineChars="333"/>
        <w:jc w:val="right"/>
        <w:rPr>
          <w:rFonts w:hint="default" w:ascii="Times New Roman" w:hAnsi="Times New Roman" w:cs="Times New Roman"/>
          <w:sz w:val="24"/>
          <w:szCs w:val="24"/>
        </w:rPr>
      </w:pPr>
      <w:r>
        <w:rPr>
          <w:rFonts w:hint="default" w:ascii="Times New Roman" w:hAnsi="Times New Roman" w:cs="Times New Roman"/>
          <w:sz w:val="24"/>
          <w:szCs w:val="24"/>
        </w:rPr>
        <w:t>10.11.2022</w:t>
      </w:r>
    </w:p>
    <w:p>
      <w:pPr>
        <w:ind w:left="-800" w:leftChars="-400" w:firstLine="799" w:firstLineChars="333"/>
        <w:jc w:val="right"/>
        <w:rPr>
          <w:rFonts w:hint="default" w:ascii="Times New Roman" w:hAnsi="Times New Roman" w:cs="Times New Roman"/>
          <w:sz w:val="24"/>
          <w:szCs w:val="24"/>
        </w:rPr>
      </w:pPr>
    </w:p>
    <w:bookmarkEnd w:id="0"/>
    <w:sectPr>
      <w:pgSz w:w="11906" w:h="16838"/>
      <w:pgMar w:top="1440" w:right="1800" w:bottom="1440" w:left="2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2115D"/>
    <w:rsid w:val="1002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2022-12-19T09:54:00Z</dcterms:created>
  <dc:creator>rahma</dc:creator>
  <cp:lastModifiedBy>rahma</cp:lastModifiedBy>
  <dcterms:modified xsi:type="dcterms:W3CDTF">2022-12-19T10:00:25Z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0AA811B7AFC84DCB8084692672251271</vt:lpwstr>
  </property>
</Properties>
</file>