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002" w:firstLineChars="416"/>
        <w:jc w:val="center"/>
        <w:rPr>
          <w:rFonts w:hint="default" w:ascii="Times New Roman" w:hAnsi="Times New Roman"/>
          <w:b/>
          <w:bCs/>
          <w:color w:val="auto"/>
          <w:sz w:val="24"/>
          <w:szCs w:val="24"/>
        </w:rPr>
      </w:pPr>
      <w:r>
        <w:rPr>
          <w:rFonts w:hint="default" w:ascii="Times New Roman" w:hAnsi="Times New Roman"/>
          <w:b/>
          <w:bCs/>
          <w:color w:val="auto"/>
          <w:sz w:val="24"/>
          <w:szCs w:val="24"/>
        </w:rPr>
        <w:t>МИНИСТЕРСТВО ФИНАНСОВ РОССИЙСКОЙ ФЕДЕРАЦИИ</w:t>
      </w:r>
    </w:p>
    <w:p>
      <w:pPr>
        <w:ind w:left="0" w:leftChars="0" w:firstLine="1002" w:firstLineChars="416"/>
        <w:jc w:val="center"/>
        <w:rPr>
          <w:rFonts w:hint="default" w:ascii="Times New Roman" w:hAnsi="Times New Roman"/>
          <w:b/>
          <w:bCs/>
          <w:color w:val="auto"/>
          <w:sz w:val="24"/>
          <w:szCs w:val="24"/>
        </w:rPr>
      </w:pPr>
    </w:p>
    <w:p>
      <w:pPr>
        <w:ind w:left="0" w:leftChars="0" w:firstLine="1002" w:firstLineChars="416"/>
        <w:jc w:val="center"/>
        <w:rPr>
          <w:rFonts w:hint="default" w:ascii="Times New Roman" w:hAnsi="Times New Roman"/>
          <w:b/>
          <w:bCs/>
          <w:color w:val="auto"/>
          <w:sz w:val="24"/>
          <w:szCs w:val="24"/>
        </w:rPr>
      </w:pPr>
      <w:r>
        <w:rPr>
          <w:rFonts w:hint="default" w:ascii="Times New Roman" w:hAnsi="Times New Roman"/>
          <w:b/>
          <w:bCs/>
          <w:color w:val="auto"/>
          <w:sz w:val="24"/>
          <w:szCs w:val="24"/>
        </w:rPr>
        <w:t>ПИСЬМО</w:t>
      </w:r>
    </w:p>
    <w:p>
      <w:pPr>
        <w:ind w:left="0" w:leftChars="0" w:firstLine="1002" w:firstLineChars="416"/>
        <w:jc w:val="center"/>
        <w:rPr>
          <w:rFonts w:hint="default" w:ascii="Times New Roman" w:hAnsi="Times New Roman"/>
          <w:b/>
          <w:bCs/>
          <w:color w:val="auto"/>
          <w:sz w:val="24"/>
          <w:szCs w:val="24"/>
        </w:rPr>
      </w:pPr>
      <w:r>
        <w:rPr>
          <w:rFonts w:hint="default" w:ascii="Times New Roman" w:hAnsi="Times New Roman"/>
          <w:b/>
          <w:bCs/>
          <w:color w:val="auto"/>
          <w:sz w:val="24"/>
          <w:szCs w:val="24"/>
        </w:rPr>
        <w:t xml:space="preserve">от 20 апреля 2023 г. </w:t>
      </w:r>
      <w:bookmarkStart w:id="0" w:name="_GoBack"/>
      <w:bookmarkEnd w:id="0"/>
      <w:r>
        <w:rPr>
          <w:rFonts w:hint="default" w:ascii="Times New Roman" w:hAnsi="Times New Roman"/>
          <w:b/>
          <w:bCs/>
          <w:color w:val="auto"/>
          <w:sz w:val="24"/>
          <w:szCs w:val="24"/>
          <w:lang w:val="ru-RU"/>
        </w:rPr>
        <w:t>№</w:t>
      </w:r>
      <w:r>
        <w:rPr>
          <w:rFonts w:hint="default" w:ascii="Times New Roman" w:hAnsi="Times New Roman"/>
          <w:b/>
          <w:bCs/>
          <w:color w:val="auto"/>
          <w:sz w:val="24"/>
          <w:szCs w:val="24"/>
        </w:rPr>
        <w:t xml:space="preserve"> 02-17-09/36343</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обращение АО от 10 марта 2023 г. по вопросу применения положений нормативных правовых актов, регулирующих банковское и казначейское сопровождение, и сообщает следующее.</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329,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 а также по оценке конкретных хозяйственных ситуаций.</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Вместе с тем Департамент считает возможным в рамках компетенции выразить свою позицию по поставленному в обращении вопросу.</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В соответствии с положениями статьи 35 Федерального закона от 5 апреля 2013 г.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высший исполнительный орган государственной власти субъекта Российской Федерации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в форме нормативных правовых актов высшего исполнительного органа государственной власти субъекта Российской Федерации.</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Казначейское сопровождение осуществляется в соответствии с главой 24.4 Бюджетного кодекса Российской Федерации (далее - Бюджетный кодекс).</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Согласно пункту 1 статьи 242.26 Бюджетного кодекса средства, подлежащие казначейскому сопровождению, источником финансового обеспечения которых являются средства бюджета субъекта Российской Федерации (далее - целевые средства), определяются в том числе законом субъекта Российской Федерации о бюджете субъекта Российской Федерации.</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Абзацем четвертым подпункта 1 статьи 242.27 Бюджетного кодекса установлено, что 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 на основании 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Исходя из информации, изложенной в обращении:</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а) законом субъекта Российской Федерации о бюджете субъекта Российской Федерации установлено, что казначейскому сопровождению подлежат расчеты (в том числе авансовые платежи) по государственным контрактам, начальная (максимальная) цена (далее - НМЦК) которых составляет более 50 млн рублей;</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б) нормативным правовым актом субъекта Российской Федерации установлено, что банковскому сопровождению подлежат государственные контракты с НМЦК более 100 млн рублей.</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Учитывая вышеприведенные положения нормативных правовых актов, а также принимая во внимание, что одновременное осуществление казначейского и банковского сопровождения в отношении одного государственного контракта не предусмотрено бюджетным законодательством Российской Федерации, по мнению Департамента, расчеты (в том числе авансовые платежи) по государственному контракту на сумму 110 млн рублей, источником финансового обеспечения которого являются средства бюджета субъекта Российской Федерации, подлежат банковскому сопровождению вне зависимости от наличия в таком государственном контракте условий об авансовых платежах.</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Вместе с тем сообщаем, что в отношении целевых средств, определенных федеральными законами, решениями Правительства Российской Федерации в соответствии с положениями пункта 2 статьи 242.26 Бюджетного кодекса, осуществляется казначейское сопровождение.</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w:t>
      </w:r>
    </w:p>
    <w:p>
      <w:pPr>
        <w:ind w:left="0" w:leftChars="0" w:firstLine="998" w:firstLineChars="416"/>
        <w:jc w:val="right"/>
        <w:rPr>
          <w:rFonts w:hint="default" w:ascii="Times New Roman" w:hAnsi="Times New Roman"/>
          <w:color w:val="auto"/>
          <w:sz w:val="24"/>
          <w:szCs w:val="24"/>
        </w:rPr>
      </w:pPr>
      <w:r>
        <w:rPr>
          <w:rFonts w:hint="default" w:ascii="Times New Roman" w:hAnsi="Times New Roman"/>
          <w:color w:val="auto"/>
          <w:sz w:val="24"/>
          <w:szCs w:val="24"/>
        </w:rPr>
        <w:t>Директор Департамента</w:t>
      </w:r>
    </w:p>
    <w:p>
      <w:pPr>
        <w:ind w:left="0" w:leftChars="0" w:firstLine="998" w:firstLineChars="416"/>
        <w:jc w:val="right"/>
        <w:rPr>
          <w:rFonts w:hint="default" w:ascii="Times New Roman" w:hAnsi="Times New Roman"/>
          <w:color w:val="auto"/>
          <w:sz w:val="24"/>
          <w:szCs w:val="24"/>
        </w:rPr>
      </w:pPr>
      <w:r>
        <w:rPr>
          <w:rFonts w:hint="default" w:ascii="Times New Roman" w:hAnsi="Times New Roman"/>
          <w:color w:val="auto"/>
          <w:sz w:val="24"/>
          <w:szCs w:val="24"/>
        </w:rPr>
        <w:t>С.В.РОМАНОВ</w:t>
      </w:r>
    </w:p>
    <w:p>
      <w:pPr>
        <w:ind w:left="0" w:leftChars="0" w:firstLine="998" w:firstLineChars="416"/>
        <w:jc w:val="right"/>
        <w:rPr>
          <w:rFonts w:hint="default" w:ascii="Times New Roman" w:hAnsi="Times New Roman"/>
          <w:color w:val="auto"/>
          <w:sz w:val="24"/>
          <w:szCs w:val="24"/>
        </w:rPr>
      </w:pPr>
      <w:r>
        <w:rPr>
          <w:rFonts w:hint="default" w:ascii="Times New Roman" w:hAnsi="Times New Roman"/>
          <w:color w:val="auto"/>
          <w:sz w:val="24"/>
          <w:szCs w:val="24"/>
        </w:rPr>
        <w:t>20.04.2023</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w:t>
      </w:r>
    </w:p>
    <w:p>
      <w:pPr>
        <w:ind w:left="0" w:leftChars="0" w:firstLine="998" w:firstLineChars="416"/>
        <w:jc w:val="both"/>
        <w:rPr>
          <w:rFonts w:hint="default" w:ascii="Times New Roman" w:hAnsi="Times New Roman" w:cs="Times New Roman"/>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450D1"/>
    <w:rsid w:val="02CB6995"/>
    <w:rsid w:val="16AA5CBE"/>
    <w:rsid w:val="4C7450D1"/>
    <w:rsid w:val="525A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2023-06-26T03:59:00Z</dcterms:created>
  <dc:creator>rahma</dc:creator>
  <cp:lastModifiedBy>rahma</cp:lastModifiedBy>
  <dcterms:modified xsi:type="dcterms:W3CDTF">2023-06-26T05:30:49Z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8743C46684D744F2B97B6659FFCE7FFE</vt:lpwstr>
  </property>
</Properties>
</file>