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auto"/>
          <w:lang w:val="ru-RU"/>
        </w:rPr>
      </w:pPr>
      <w:r>
        <w:rPr>
          <w:rFonts w:hint="default"/>
          <w:b/>
          <w:bCs/>
          <w:color w:val="auto"/>
        </w:rPr>
        <w:t xml:space="preserve">Письмо Минфина России от 14 марта 2023 г. </w:t>
      </w:r>
      <w:r>
        <w:rPr>
          <w:rFonts w:hint="default"/>
          <w:b/>
          <w:bCs/>
          <w:color w:val="auto"/>
          <w:lang w:val="ru-RU"/>
        </w:rPr>
        <w:t>№</w:t>
      </w:r>
      <w:r>
        <w:rPr>
          <w:rFonts w:hint="default"/>
          <w:b/>
          <w:bCs/>
          <w:color w:val="auto"/>
        </w:rPr>
        <w:t xml:space="preserve"> 02-11-08/21043 О привлечении в 2023 г. собственных средств федеральных автономных учреждений, являющихся головными исполнителями (исполнителями) по государственным контрактам (контрактам), заключенным в целях реализации государственного оборонного заказа</w:t>
      </w:r>
      <w:r>
        <w:rPr>
          <w:rFonts w:hint="default"/>
          <w:b/>
          <w:bCs/>
          <w:color w:val="auto"/>
          <w:lang w:val="ru-RU"/>
        </w:rPr>
        <w:t>.</w:t>
      </w:r>
    </w:p>
    <w:p>
      <w:pPr>
        <w:rPr>
          <w:rFonts w:hint="default"/>
          <w:color w:val="auto"/>
        </w:rPr>
      </w:pP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>Департамент бюджетной методологии и финансовой отчетности в государственном сектор</w:t>
      </w:r>
      <w:bookmarkStart w:id="0" w:name="_GoBack"/>
      <w:bookmarkEnd w:id="0"/>
      <w:r>
        <w:rPr>
          <w:rFonts w:hint="default"/>
          <w:color w:val="auto"/>
        </w:rPr>
        <w:t xml:space="preserve">е Министерства финансов Российской Федерации (далее - Департамент) рассмотрел обращение, направленное письмом Федерального казначейства от 10 февраля 2023 г.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> 05-01-15/3512, по вопросу привлечения в 2023 году собственных средств федеральных автономных учреждений, являющихся головными исполнителями (исполнителями) по государственным контрактам (контрактам), заключенным в целях реализации государственного оборонного заказа, и сообщает.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 xml:space="preserve">В соответствии с положениями части 31 статьи 9 Закона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> 448-ФЗ 1 в 2023 году операции со средствами субсидий и средствами от приносящей доход деятельности, получаемыми федеральными автономными учреждениями, осуществляются на казначейских счетах для осуществления и отражения операций с денежными средствами бюджетных и автономных учреждений и отражаются на соответствующих лицевых счетах, открытых федеральным автономным учреждениям в территориальном органе Федерального казначейства в порядке, установленном Федеральным казначейством.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 xml:space="preserve">Положениями части 30 статьи 9 Закона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 xml:space="preserve"> 448-ФЗ установлен запрет на перечисление средств с лицевых счетов, открытых федеральным автономным учреждениям, указанным в части 31 статьи 9 Закона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> 448-ФЗ, на счета, открытые в учреждении Центрального банка Российской Федерации или кредитной организации указанным федеральным автономным учреждениям.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 xml:space="preserve">При этом согласно положениям пункта 7 статьи 7 Федерального закона от 29 декабря 2012 г.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 xml:space="preserve"> 275-ФЗ "О государственном оборонном заказе" (далее - Закон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> 275-ФЗ) государственный заказчик использует для расчетов по государственному контракту, заключенному в целях реализации государственного оборонного заказа (далее - государственный контракт ГОЗ), только отдельный счет, открытый в уполномоченном банке головному исполнителю, с которым у государственного заказчика заключен государственный контракт ГОЗ, при наличии у такого головного исполнителя договора о банковском сопровождении, заключенного с уполномоченным банком.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 xml:space="preserve">Пунктом 2 части 1 статьи 8 Закона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> 275-ФЗ установлена обязанность головного исполнителя по государственному контракту ГОЗ по согласованию с государственным заказчиком выбирать уполномоченный банк и заключать с ним договор о банковском сопровождении.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 xml:space="preserve">Кроме того, положениями пункта 7 части 1 статьи 8 Закона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> 275-ФЗ установлена обязанность головного исполнителя по государственному контракту ГОЗ использовать для расчетов по контрактам, заключенным головным исполнителем с исполнителями на поставки продукции, необходимой головному исполнителю для выполнения государственного оборонного заказа, только отдельные счета, открытые исполнителям в уполномоченном банке.</w:t>
      </w:r>
    </w:p>
    <w:p>
      <w:pPr>
        <w:rPr>
          <w:rFonts w:hint="default"/>
          <w:color w:val="auto"/>
        </w:rPr>
      </w:pPr>
      <w:r>
        <w:rPr>
          <w:rFonts w:hint="default"/>
          <w:color w:val="auto"/>
        </w:rPr>
        <w:t xml:space="preserve">Принимая во внимание требования, установленные Законом </w:t>
      </w:r>
      <w:r>
        <w:rPr>
          <w:rFonts w:hint="default"/>
          <w:color w:val="auto"/>
          <w:lang w:val="ru-RU"/>
        </w:rPr>
        <w:t>№</w:t>
      </w:r>
      <w:r>
        <w:rPr>
          <w:rFonts w:hint="default"/>
          <w:color w:val="auto"/>
        </w:rPr>
        <w:t> 275-ФЗ, по мнению Департамента, федеральные автономные учреждения, являющиеся головными исполнителями по государственным контрактам ГОЗ, могут заключать с уполномоченным банком договор о банковском сопровождении и осуществлять расчеты по указанным государственным контрактам ГОЗ с использованием отдельных счетов, открытых в данном банке.</w:t>
      </w:r>
    </w:p>
    <w:p>
      <w:pPr>
        <w:rPr>
          <w:rFonts w:hint="default"/>
          <w:color w:val="auto"/>
        </w:rPr>
      </w:pPr>
    </w:p>
    <w:p>
      <w:pPr>
        <w:rPr>
          <w:color w:val="auto"/>
        </w:rPr>
      </w:pPr>
      <w:r>
        <w:rPr>
          <w:rFonts w:hint="default"/>
          <w:color w:val="auto"/>
        </w:rPr>
        <w:t>Врио директора Департамента</w:t>
      </w:r>
      <w:r>
        <w:rPr>
          <w:rFonts w:hint="default"/>
          <w:color w:val="auto"/>
        </w:rPr>
        <w:tab/>
      </w:r>
      <w:r>
        <w:rPr>
          <w:rFonts w:hint="default"/>
          <w:color w:val="auto"/>
        </w:rPr>
        <w:t>Е.В. Глимбовская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E4ECA"/>
    <w:rsid w:val="02D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  <w:ind w:firstLine="720"/>
      <w:jc w:val="both"/>
    </w:pPr>
    <w:rPr>
      <w:rFonts w:hint="default" w:ascii="Times New Roman CYR" w:hAnsi="Times New Roman CYR" w:eastAsia="Times New Roman CYR" w:cs="Times New Roman"/>
      <w:sz w:val="24"/>
      <w:szCs w:val="24"/>
    </w:rPr>
  </w:style>
  <w:style w:type="paragraph" w:styleId="2">
    <w:name w:val="heading 1"/>
    <w:basedOn w:val="1"/>
    <w:next w:val="1"/>
    <w:unhideWhenUsed/>
    <w:uiPriority w:val="99"/>
    <w:pPr>
      <w:spacing w:before="108" w:beforeLines="0" w:after="108" w:afterLines="0"/>
      <w:ind w:firstLine="0"/>
      <w:jc w:val="center"/>
    </w:pPr>
    <w:rPr>
      <w:rFonts w:hint="default"/>
      <w:b/>
      <w:color w:val="26282F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Гипертекстовая ссылка"/>
    <w:basedOn w:val="6"/>
    <w:unhideWhenUsed/>
    <w:qFormat/>
    <w:uiPriority w:val="99"/>
    <w:rPr>
      <w:rFonts w:hint="default"/>
      <w:b w:val="0"/>
      <w:color w:val="106BBE"/>
      <w:sz w:val="24"/>
      <w:szCs w:val="24"/>
    </w:rPr>
  </w:style>
  <w:style w:type="character" w:customStyle="1" w:styleId="6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paragraph" w:customStyle="1" w:styleId="7">
    <w:name w:val="Прижатый влево"/>
    <w:basedOn w:val="1"/>
    <w:next w:val="1"/>
    <w:unhideWhenUsed/>
    <w:qFormat/>
    <w:uiPriority w:val="99"/>
    <w:pPr>
      <w:spacing w:beforeLines="0" w:afterLines="0"/>
      <w:ind w:firstLine="0"/>
      <w:jc w:val="left"/>
    </w:pPr>
    <w:rPr>
      <w:rFonts w:hint="default"/>
      <w:sz w:val="24"/>
      <w:szCs w:val="24"/>
    </w:rPr>
  </w:style>
  <w:style w:type="paragraph" w:customStyle="1" w:styleId="8">
    <w:name w:val="Нормальный (таблица)"/>
    <w:basedOn w:val="1"/>
    <w:next w:val="1"/>
    <w:unhideWhenUsed/>
    <w:qFormat/>
    <w:uiPriority w:val="99"/>
    <w:pPr>
      <w:spacing w:beforeLines="0" w:afterLines="0"/>
      <w:ind w:firstLine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2023-06-23T06:56:00Z</dcterms:created>
  <dc:creator>rahma</dc:creator>
  <cp:lastModifiedBy>rahma</cp:lastModifiedBy>
  <dcterms:modified xsi:type="dcterms:W3CDTF">2023-06-23T07:07:41Z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6A5C48501967404BB9D1204A10B9E4FF</vt:lpwstr>
  </property>
</Properties>
</file>