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802" w:firstLineChars="333"/>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МИНИСТЕРСТВО ФИНАНСОВ РОССИЙСКОЙ ФЕДЕРАЦИИ</w:t>
      </w:r>
    </w:p>
    <w:p>
      <w:pPr>
        <w:ind w:left="0" w:leftChars="0" w:firstLine="802" w:firstLineChars="333"/>
        <w:jc w:val="center"/>
        <w:rPr>
          <w:rFonts w:hint="default" w:ascii="Times New Roman" w:hAnsi="Times New Roman"/>
          <w:b/>
          <w:bCs/>
          <w:color w:val="auto"/>
          <w:sz w:val="24"/>
          <w:szCs w:val="24"/>
          <w:lang w:val="ru-RU"/>
        </w:rPr>
      </w:pPr>
    </w:p>
    <w:p>
      <w:pPr>
        <w:ind w:left="0" w:leftChars="0" w:firstLine="802" w:firstLineChars="333"/>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ПИСЬМО</w:t>
      </w:r>
    </w:p>
    <w:p>
      <w:pPr>
        <w:ind w:left="0" w:leftChars="0" w:firstLine="802" w:firstLineChars="333"/>
        <w:jc w:val="center"/>
        <w:rPr>
          <w:rFonts w:hint="default" w:ascii="Times New Roman" w:hAnsi="Times New Roman"/>
          <w:b/>
          <w:bCs/>
          <w:color w:val="auto"/>
          <w:sz w:val="24"/>
          <w:szCs w:val="24"/>
          <w:lang w:val="ru-RU"/>
        </w:rPr>
      </w:pPr>
      <w:r>
        <w:rPr>
          <w:rFonts w:hint="default" w:ascii="Times New Roman" w:hAnsi="Times New Roman"/>
          <w:b/>
          <w:bCs/>
          <w:color w:val="auto"/>
          <w:sz w:val="24"/>
          <w:szCs w:val="24"/>
          <w:lang w:val="ru-RU"/>
        </w:rPr>
        <w:t>от 17 апреля 2023 г. № 24-06-06/34437</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bookmarkStart w:id="0" w:name="_GoBack"/>
      <w:bookmarkEnd w:id="0"/>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Департамент бюджетной политики в сфере контрактной системы Минфина России (далее - Департамент), рассмотрев обращение от 22.03.2023 по вопросу о применении отдельных положений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Закон № 44-ФЗ), сообщает следующее.</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соответствии с Положением о Министерстве финансов Российской Федерации, утвержденным постановлением Правительства Российской Федерации от 30.06.2004 № 329, Минфин России является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осуществления закупок товаров, работ, услуг для обеспечения государственных и муниципальных нужд.</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Согласно пунктам 11.8 и 12.5 Регламента Министерства финансов Российской Федерации, утвержденного приказом Министерства финансов Российской Федерации от 14.09.2018 № 194н, Минфином России не осуществляется разъяснение законодательства Российской Федерации, практики его применения, практики применения нормативных правовых актов Минфина России, а также толкование норм, терминов и понятий, за исключением случаев, если на него возложена соответствующая обязанность или если это необходимо для обоснования решения, принятого по обращению.</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Также Минфин России не обладает ни надзорными, ни контрольными функциями и (или) полномочиями в отношении осуществляемых закупок, в связи с чем не вправе рассматривать вопрос о правомерности совершенных и (или) совершаемых действий участниками контрактной системы в сфере закупок.</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Вместе с тем в рамках компетенции Департамента полагаем необходимым отметить следующее.</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По вопросу 1</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Частью 1 статьи 34 Закона № 44-ФЗ установлено, что контракт 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Законом № 44-ФЗ извещение об осуществлении закупки или приглашение, документация о закупке, заявка не предусмотрены.</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соответствии с пунктом 1 части 13 статьи 34 Закона № 44-ФЗ в контракт включаются обязательные условия о порядке и сроках оплаты товара, работы или услуги, в том числе с учетом положений части 13 статьи 37 Закона № 44-ФЗ,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о порядке и сроках оформления результатов такой приемки.</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Согласно части 7 статьи 94 Закона № 44-ФЗ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Таким образом, Законом № 44-ФЗ установлено, что исполнение контракта должно происходить в соответствии с условиями, установленными контрактом, при этом порядок приемки поставленного товара, выполненной работы (ее результатов) или оказанной услуги, порядок оформления результатов такой приемки, а также порядок и сроки оплаты товара, работы, услуги устанавливаются заказчиком самостоятельно в контракте.</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Датой приемки поставленного товара, выполненной работы, оказанной услуги согласно пункту 8 части 13 статьи 94 Закона № 44-ФЗ считается дата размещения в единой информационной системе в сфере закупок документа о приемке, подписанного заказчиком.</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Положениями Закона № 44-ФЗ не установлено ограничений на осуществление приемки части поставленного товара, части выполненной работы, части оказанной услуги с их последующей оплатой ранее срока, установленного контрактом (при условии, что это не противоречит условиям заключенного контракта).</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При этом осуществление приемки части поставленного товара, части выполненной работы, части оказанной услуги и оплаты такой части в силу положений пункта 8.4 части 1 статьи 3 Закона № 44-ФЗ является отдельным этапом исполнения контракта.</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Вместе с тем частью 13.1 статьи 34 Закона № 44-ФЗ установлено, что срок оплаты заказчиком поставленного товара, выполненной работы (ее результатов), оказанной услуги, отдельных этапов исполнения контракта, предусмотренный контрактом, заключенным по результатам определения поставщика (подрядчика, исполнителя), должен составлять не более семи рабочих дней с даты подписания заказчиком документа о приемке, предусмотренного частью 7 статьи 94 Закона № 44-ФЗ, за исключением случаев, если:</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иной срок оплаты установлен законодательством Российской Федерации;</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оформление документа о приемке осуществляется без использования единой информационной системы в сфере закупок, при этом срок оплаты должен составлять не более десяти рабочих дней с даты подписания документа о приемке, предусмотренного частью 7 статьи 94 Закона № 44-ФЗ, а в случае, если контракт содержит сведения, составляющие государственную тайну, - не более двадцати рабочих дней;</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 при этом срок оплаты должен составлять не более десяти рабочих дней с даты подписания документа о приемке, предусмотренного частью 7 статьи 94 Закона № 44-ФЗ;</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Правительством Российской Федерации в целях обеспечения обороноспособности и безопасности государства установлен иной срок оплаты.</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С учетом изложенного оплата по контракту осуществляется заказчиком в соответствии с условиями, указанными в контракте, после размещения в единой информационной системе в сфере закупок документа о приемке и в пределах сроков, установленных частью 13.1 статьи 34 Закона № 44-ФЗ.</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По вопросу 2</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Начальная (максимальная) цена контракта и в предусмотренных Законом N 44-ФЗ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одного или нескольких методов, предусмотренных положениями статьи 22 Закона № 44-ФЗ.</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Так, указанные случаи установлены частью 4 статьи 93 Закона № 44-ФЗ. При осуществлении закупки у единственного поставщика (подрядчика, исполнителя) в случаях, предусмотренных пунктами 3, 6, 11, 12, 16, 18, 19, 22, 23, 30 - 35, 37 - 41, 46 и 49 части 1 указанной статьи, заказчик обосновывает цену контракта в соответствии с Законом № 44-ФЗ и включает в контракт обоснование цены контракта.</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Таким образом, при осуществлении заказчиком закупок у единственного поставщика (подрядчика, исполнителя) в соответствии с пунктом 4 части 1 статьи 93 Закона № 44-ФЗ обоснование цены контракта в соответствии с положениями статьи 22 Закона № 44-ФЗ не требуется.</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Вместе с тем частью 22 статьи 22 Закона № 44-ФЗ предусмотрено право Правительства Российской Федерации определить сферы деятельности, в которых при осуществлении закупок устанавливаются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и федеральные органы исполнительной власти, уполномоченные устанавливать такой порядок с учетом положений Закона № 44-ФЗ.</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Таким образом, в случае если нормативными правовыми актами уполномоченных федеральных органов исполнительной власти установлен порядок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в сферах деятельности, определенных Правительством Российской Федерации на основании части 22 статьи 22 Закона № 44-ФЗ, цена контракта определяется в соответствии с положениями соответствующих нормативных правовых актов.</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799" w:firstLineChars="333"/>
        <w:jc w:val="right"/>
        <w:rPr>
          <w:rFonts w:hint="default" w:ascii="Times New Roman" w:hAnsi="Times New Roman"/>
          <w:color w:val="auto"/>
          <w:sz w:val="24"/>
          <w:szCs w:val="24"/>
          <w:lang w:val="ru-RU"/>
        </w:rPr>
      </w:pPr>
      <w:r>
        <w:rPr>
          <w:rFonts w:hint="default" w:ascii="Times New Roman" w:hAnsi="Times New Roman"/>
          <w:color w:val="auto"/>
          <w:sz w:val="24"/>
          <w:szCs w:val="24"/>
          <w:lang w:val="ru-RU"/>
        </w:rPr>
        <w:t>Заместитель директора Департамента</w:t>
      </w:r>
    </w:p>
    <w:p>
      <w:pPr>
        <w:ind w:left="0" w:leftChars="0" w:firstLine="799" w:firstLineChars="333"/>
        <w:jc w:val="right"/>
        <w:rPr>
          <w:rFonts w:hint="default" w:ascii="Times New Roman" w:hAnsi="Times New Roman"/>
          <w:color w:val="auto"/>
          <w:sz w:val="24"/>
          <w:szCs w:val="24"/>
          <w:lang w:val="ru-RU"/>
        </w:rPr>
      </w:pPr>
      <w:r>
        <w:rPr>
          <w:rFonts w:hint="default" w:ascii="Times New Roman" w:hAnsi="Times New Roman"/>
          <w:color w:val="auto"/>
          <w:sz w:val="24"/>
          <w:szCs w:val="24"/>
          <w:lang w:val="ru-RU"/>
        </w:rPr>
        <w:t>Д.А.ГОТОВЦЕВ</w:t>
      </w:r>
    </w:p>
    <w:p>
      <w:pPr>
        <w:ind w:left="0" w:leftChars="0" w:firstLine="799" w:firstLineChars="333"/>
        <w:jc w:val="right"/>
        <w:rPr>
          <w:rFonts w:hint="default" w:ascii="Times New Roman" w:hAnsi="Times New Roman"/>
          <w:color w:val="auto"/>
          <w:sz w:val="24"/>
          <w:szCs w:val="24"/>
          <w:lang w:val="ru-RU"/>
        </w:rPr>
      </w:pPr>
      <w:r>
        <w:rPr>
          <w:rFonts w:hint="default" w:ascii="Times New Roman" w:hAnsi="Times New Roman"/>
          <w:color w:val="auto"/>
          <w:sz w:val="24"/>
          <w:szCs w:val="24"/>
          <w:lang w:val="ru-RU"/>
        </w:rPr>
        <w:t>17.04.2023</w:t>
      </w:r>
    </w:p>
    <w:p>
      <w:pPr>
        <w:ind w:left="0" w:leftChars="0" w:firstLine="799" w:firstLineChars="333"/>
        <w:jc w:val="both"/>
        <w:rPr>
          <w:rFonts w:hint="default" w:ascii="Times New Roman" w:hAnsi="Times New Roman"/>
          <w:color w:val="auto"/>
          <w:sz w:val="24"/>
          <w:szCs w:val="24"/>
          <w:lang w:val="ru-RU"/>
        </w:rPr>
      </w:pPr>
      <w:r>
        <w:rPr>
          <w:rFonts w:hint="default" w:ascii="Times New Roman" w:hAnsi="Times New Roman"/>
          <w:color w:val="auto"/>
          <w:sz w:val="24"/>
          <w:szCs w:val="24"/>
          <w:lang w:val="ru-RU"/>
        </w:rPr>
        <w:t> </w:t>
      </w:r>
    </w:p>
    <w:p>
      <w:pPr>
        <w:ind w:left="0" w:leftChars="0" w:firstLine="799" w:firstLineChars="333"/>
        <w:jc w:val="both"/>
        <w:rPr>
          <w:rFonts w:hint="default" w:ascii="Times New Roman" w:hAnsi="Times New Roman" w:cs="Times New Roman"/>
          <w:color w:val="auto"/>
          <w:sz w:val="24"/>
          <w:szCs w:val="24"/>
          <w:lang w:val="ru-RU"/>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9966FD"/>
    <w:rsid w:val="0F3D3631"/>
    <w:rsid w:val="4B9966FD"/>
    <w:rsid w:val="5F9342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124</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2023-06-19T05:15:00Z</dcterms:created>
  <dc:creator>rahma</dc:creator>
  <cp:lastModifiedBy>rahma</cp:lastModifiedBy>
  <dcterms:modified xsi:type="dcterms:W3CDTF">2023-06-19T07:20:17Z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6491E55F59214A9A9EBD36B5BE16AE7B</vt:lpwstr>
  </property>
</Properties>
</file>