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802" w:firstLineChars="333"/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 xml:space="preserve">Письмо Минфина России от 12 апреля 2023 г.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 xml:space="preserve"> 24-06-06/32815</w:t>
      </w:r>
    </w:p>
    <w:p>
      <w:pPr>
        <w:ind w:left="0" w:leftChars="0" w:firstLine="802" w:firstLineChars="333"/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/>
        </w:rPr>
        <w:t>“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  <w:t>П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оряд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  <w:t>о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к установления аванса в отношении этапа исполнения контракта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/>
        </w:rPr>
        <w:t>”</w:t>
      </w:r>
    </w:p>
    <w:p>
      <w:pPr>
        <w:ind w:left="0" w:leftChars="0" w:firstLine="799" w:firstLineChars="33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Департамент бюджетной политики в сфере контрактной системы Минфина России (далее - Департамент), рассмотрев обращение по вопросу применения положений Федерального закона от 05.04.2013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44-ФЗ) в части порядка установления аванса в отношении этапа исполнения контракта, с учетом пунктов 11 8 и 12 5 Регламента Министерства финансов Российской Федерации, утвержденного приказом Минфина России от 14.09.2018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194н, сообщает следующее.</w:t>
      </w:r>
    </w:p>
    <w:p>
      <w:pPr>
        <w:ind w:left="0" w:leftChars="0" w:firstLine="799" w:firstLineChars="33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Согласно пункту 1 части 13 статьи 34 Закона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44-ФЗ в случае, если контрактом предусмотрены его поэтапное исполнение и выплата аванса, в контракт включается условие о размере аванса в отношении каждого этапа исполнения контракта в виде процента от размера цены соответствующего этапа.</w:t>
      </w:r>
    </w:p>
    <w:p>
      <w:pPr>
        <w:ind w:left="0" w:leftChars="0" w:firstLine="799" w:firstLineChars="33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При этом возможность установления различного размера аванса в процентном выражении для каждого этапа исполнения контракта Законом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44-ФЗ не предусмотрена.</w:t>
      </w:r>
    </w:p>
    <w:p>
      <w:pPr>
        <w:ind w:left="0" w:leftChars="0" w:firstLine="799" w:firstLineChars="33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Следует отметить, что согласно статье 215 1 Бюджетного кодекса Российской Федерации исполнение федерального бюджета и бюджетов государственных внебюджетных фондов Российской Федерации, бюджета субъекта Российской Федерации и бюджета территориального государственного внебюджетного фонда, местного бюджета обеспечивается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образования.</w:t>
      </w:r>
    </w:p>
    <w:p>
      <w:pPr>
        <w:ind w:left="0" w:leftChars="0" w:firstLine="799" w:firstLineChars="33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Таким образом, в соответствующих нормативных правовых актах, регламентирующих исполнение бюджета, могут быть предусмотрены требования о размере и порядке установления авансовых платежей при заключении государственных и муниципальных контрактов.</w:t>
      </w:r>
    </w:p>
    <w:p>
      <w:pPr>
        <w:ind w:left="0" w:leftChars="0" w:firstLine="799" w:firstLineChars="33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Так, например, в соответствии с подпунктом "а" пункта 18 Положения о мерах по обеспечению исполнения федерального бюджета, утвержденного постановлением Правительства Российской Федерации от 09.12.2017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1496 "О мерах по обеспечению исполнения федерального бюджета", получатели средств федерального бюджета вправе предусматривать в заключаемых ими государственных контрактах авансовые платежи в размере и порядке, которые установлены абзацами вторым - седьмым указанного пункта, но не более лимитов бюджетных обязательств на соответствующий финансовый год, доведенных до них в установленном порядке на соответствующие цели при включении в них условия о последующих после выплаты аванса платежах в размере, не превышающем разницу между стоимостью фактически поставленных товаров, выполненных работ, оказанных услуг, подтвержденных в соответствии с установленным Минфином России порядком санкционирования оплаты денежных обязательств получателей средств федерального бюджета, и:</w:t>
      </w:r>
    </w:p>
    <w:p>
      <w:pPr>
        <w:ind w:left="0" w:leftChars="0" w:firstLine="799" w:firstLineChars="33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общей суммой ранее выплаченного авансового платежа (в случае, если государственный контракт не содержит этапы его исполнения либо выполнение указанных этапов осуществляется последовательно);</w:t>
      </w:r>
    </w:p>
    <w:p>
      <w:pPr>
        <w:ind w:left="0" w:leftChars="0" w:firstLine="799" w:firstLineChars="33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суммой, рассчитанной как произведение размера предусмотренного государственным контрактом авансового платежа в процентном выражении и стоимости фактически поставленных товаров, выполненных работ, оказанных услуг (в случае, если государственный контракт содержит этапы его исполнения, сроки выполнения которых полностью или частично совпадают).</w:t>
      </w:r>
    </w:p>
    <w:p>
      <w:pPr>
        <w:ind w:left="0" w:leftChars="0" w:firstLine="799" w:firstLineChars="33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Информация о заключенном контракте размещается в реестре контрактов, заключенных заказчиками, в порядке, предусмотренном статьей 103 Закона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44-ФЗ, и в соответствии с Правилами ведения реестра контрактов, заключенных заказчиками,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утверждёнными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Постановлением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60 </w: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"О мерах по информационному обеспечению контрактной системы в сфере закупок товаров, работ, услуг для обеспечения государственных и муниципальных нужд, по организации в ней документооборота,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Федерации"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(далее - Реестр контрактов, Правила).</w:t>
      </w:r>
    </w:p>
    <w:p>
      <w:pPr>
        <w:ind w:left="0" w:leftChars="0" w:firstLine="799" w:firstLineChars="33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Так, согласно подпункту "и" пункта 10 Правил в Реестр контрактов в соответствии с данными Правилами подлежат включению информация и документы о контракте, заключенном в соответствии с Законом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44-ФЗ, в том числе информация о цене контракта, включая размер аванса (если предусмотрена выплата аванса), размер аванса в отношении каждого этапа исполнения контракта в виде процента цены соответствующего этапа (если контрактом предусмотрены его поэтапное исполнение и выплата аванса).</w:t>
      </w:r>
    </w:p>
    <w:p>
      <w:pPr>
        <w:ind w:left="0" w:leftChars="0" w:firstLine="799" w:firstLineChars="33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Таким образом, в случае если контрактом предусмотрены его поэтапное исполнение и выплата аванса, то в Реестре контрактов указывается размер аванса в отношении каждого этапа исполнения контракта в виде процента цены соответствующего этапа.</w:t>
      </w:r>
    </w:p>
    <w:p>
      <w:pPr>
        <w:ind w:left="0" w:leftChars="0" w:firstLine="799" w:firstLineChars="33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В соответствии с подпунктом "в" пункта 11 Правил в Реестр контрактов подлежат включению информация и документы об исполнении контракта (отдельного этапа исполнения контракта), в том числе об уплате заказчиком поставщику (подрядчику, исполнителю) аванса, а также оплате поставленного товара, выполненной работы (ее результатов), оказанной услуги, а именно:</w:t>
      </w:r>
    </w:p>
    <w:p>
      <w:pPr>
        <w:ind w:left="0" w:leftChars="0" w:firstLine="799" w:firstLineChars="33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платежный документ в форме электронного документа или в форме электронного образа бумажного документа, его реквизиты;</w:t>
      </w:r>
    </w:p>
    <w:p>
      <w:pPr>
        <w:ind w:left="0" w:leftChars="0" w:firstLine="799" w:firstLineChars="33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сумма оплаты контракта в соответствии с платежным документом.</w:t>
      </w:r>
    </w:p>
    <w:p>
      <w:pPr>
        <w:ind w:left="0" w:leftChars="0" w:firstLine="799" w:firstLineChars="33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Учитывая изложенное, в случае если контрактом предусмотрены его поэтапное исполнение и выплата аванса, в Реестр контрактов включается платежный документ, подтверждающий оплату заказчиком поставщику (подрядчику, исполнителю) аванса.</w:t>
      </w:r>
    </w:p>
    <w:p>
      <w:pPr>
        <w:ind w:left="0" w:leftChars="0" w:firstLine="799" w:firstLineChars="33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При этом предоставление одного платежного документа, подтверждающего выплату аванса по всем этапам контракта, не противоречит положениям Правил.</w:t>
      </w:r>
    </w:p>
    <w:p>
      <w:pPr>
        <w:ind w:left="0" w:leftChars="0" w:firstLine="799" w:firstLineChars="33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Таким образом, включаемые в Реестр контрактов информация и документы определены статьей 103 Закона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44-ФЗ и Правилами.</w:t>
      </w:r>
    </w:p>
    <w:p>
      <w:pPr>
        <w:ind w:left="0" w:leftChars="0" w:firstLine="799" w:firstLineChars="33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Дополнительно Департамент отмечает, что в соответствии с пунктом 1 постановления Правительства Российской Федерации от 13.04.2017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442 Федеральное казначейство определено уполномоченным федеральным органом исполнительной власти, осуществляющим функции по выработке функциональных требований к единой информационной сист</w:t>
      </w:r>
      <w:bookmarkStart w:id="0" w:name="_GoBack"/>
      <w:bookmarkEnd w:id="0"/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еме в сфере закупок (далее - ЕИС), по созданию, развитию, ведению и обслуживанию ЕИС, а также согласно части 1 статьи 103 Закона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44-ФЗ Федеральное казначейство ведет Реестр контрактов, в связи с чем в случае необходимости получения дополнительной информации по вопросам, указанным в обращении, Департамент по регулированию контрактной системы вправе обратиться в Федеральное казначейство.</w:t>
      </w:r>
    </w:p>
    <w:p>
      <w:pPr>
        <w:ind w:left="0" w:leftChars="0" w:firstLine="799" w:firstLineChars="33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Заместитель директора Департамента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                                            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Д.А. Готовцев</w:t>
      </w:r>
    </w:p>
    <w:p>
      <w:pPr>
        <w:ind w:left="0" w:leftChars="0" w:firstLine="799" w:firstLineChars="33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384EFB"/>
    <w:rsid w:val="3238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2023-06-15T06:46:00Z</dcterms:created>
  <dc:creator>rahma</dc:creator>
  <cp:lastModifiedBy>rahma</cp:lastModifiedBy>
  <dcterms:modified xsi:type="dcterms:W3CDTF">2023-06-15T06:57:16Z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F8D54DC04E9349FBB70FC29CE6AF309C</vt:lpwstr>
  </property>
</Properties>
</file>