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250" w:right="0" w:firstLine="0"/>
        <w:jc w:val="center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Письмо Федеральной антимонопольной службы от 7 февраля 2023 г.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№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</w:rPr>
        <w:t xml:space="preserve"> ПИ/8371/23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 xml:space="preserve"> 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“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ru-RU"/>
        </w:rPr>
        <w:t>О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ценк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а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 xml:space="preserve"> заявок участников закупки по показателю оценки "наличие у участников закупки специалистов и иных работников определенного уровня квалификаци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ru-RU"/>
        </w:rPr>
        <w:t>и</w:t>
      </w: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/>
        </w:rPr>
        <w:t>”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  <w:bdr w:val="none" w:color="auto" w:sz="0" w:space="0"/>
          <w:shd w:val="clear" w:fill="FFFFFF"/>
          <w:lang w:val="en-US"/>
        </w:rPr>
      </w:pP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В дополнение к ранее на</w:t>
      </w:r>
      <w:bookmarkStart w:id="0" w:name="_GoBack"/>
      <w:bookmarkEnd w:id="0"/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правленному письму от 20.01.2023 № ПИ/3194/23 по вопросу применения положений постановления Правительства Российской Федерации от 31.12.2021 № 2604 "Об оценке заявок на участие в закупке товаров, работ, услуг для обеспечения государственных и муниципальных нужд, внесении изменений в пункт 4 постановления Правительства Российской Федерации от 20 декабря 2021 г. № 2369 и признании утратившими силу некоторых актов и отдельных положений некоторых актов Правительства Российской Федерации" (далее - Постановление № 2604) при оценке заявок участников закупки по показателю оценки "наличие у участников закупки специалистов и иных работников определенного уровня квалификации" критерия оценки "квалификация участников закупки" ФАС России сообщает следующее.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Подпунктом "д" пункта 24 Положения об оценке заявок на участие в закупке товаров, работ, услуг для обеспечения государственных и муниципальных нужд (далее - Положение), утвержденного Постановлением № 2604, установлено, что для оценки заявок по критерию оценки "квалификация участников закупки" может применяться такой показатель оценки, как "наличие у участников закупки специалистов и иных работников определенного уровня квалификации".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Согласно пункту 30 Положения в случае применения показателя оценки, указанного в подпункте "д" пункта 24 Положения, документом, предусмотренным приложением № 1 к Положению, устанавливаются: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а) перечень специалистов и иных работников, их квалификация, оцениваемые по показателю, предусмотренному подпунктом "д" пункта 24 Положения, и необходимые для поставки товара, выполнения работ, оказания услуг, являющихся объектом закупки;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б) перечень следующих информации (в том числе данных) и документов, подтверждающих квалификацию участника закупки, наличие специалистов и иных работников, их квалификацию, предусмотренные перечнем, установленным в соответствии с подпунктом "а" пункта 30 Положения: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трудовая книжка или сведения о трудовой деятельности, предусмотренные статьей 66.1 Трудового кодекса Российской Федерации (далее - ТК РФ);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информация (в том числе данные), результаты применения информационных технологий и документы, подтверждающие квалификацию участника закупки, его специалистов и иных работников, в том числе предусмотренную в соответствии с профессиональными стандартами (если соответствующий профессиональный стандарт обязателен для применения работодателями в соответствии с законодательством Российской Федерации).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В соответствии со статьей 66.1 ТК РФ в сведения о трудовой деятельности включаются 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 предусмотренная ТК РФ, иным федеральным законом информация.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Таким образом, сведения о трудовой деятельности, предоставляемые в качестве документов, подтверждающих наличие специалистов и иных работников, их квалификацию, должны соответствовать требованиям ТК РФ.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При этом ФАС России отмечает, что гражданско-правовые договоры заключенные между участником закупки и специалистами (иными работниками), не являются информацией и документами, подтверждающими наличие таких / специалистов и их квалификацию в соответствии с положениями ТК РФ.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ФАС России обращает внимание, что указанная позиция подтверждается письмом Минтруда России от 18.01.2023 № 14-4/В-42 (прилагается).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Согласно подпункту "р" части 1 статьи 43 Федерального закона от 05.04.2013 № 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случае установления критерия оценки "квалификация участников закупки" заявка на участие в закупке может содержать документы, подтверждающие квалификацию участника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Учитывая изложенное, информация и документы, подтверждающие наличие специалистов и иных работников, их квалификацию и соответствующие требованиям ТК РФ, должны содержаться в составе заявки на участие в закупке.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Дополнительно ФАС России отмечает, что заказчик самостоятельно определяет и устанавливает документы, подтверждающие квалификацию специалистов и иных работников, требования к их содержанию, наименованию квалификации при необходимости, в соответствии с требованиями Закона о контрактной системе, Положения, профессиональных стандартов, а также с учетом специфики планируемой к осуществлению закупки.</w:t>
      </w:r>
    </w:p>
    <w:p>
      <w:pPr>
        <w:ind w:left="0" w:leftChars="0" w:firstLine="1200" w:firstLineChars="500"/>
        <w:jc w:val="both"/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</w:rPr>
      </w:pPr>
      <w:r>
        <w:rPr>
          <w:rFonts w:hint="default" w:ascii="Times New Roman" w:hAnsi="Times New Roman" w:eastAsia="serif"/>
          <w:i w:val="0"/>
          <w:iCs w:val="0"/>
          <w:caps w:val="0"/>
          <w:color w:val="auto"/>
          <w:spacing w:val="0"/>
          <w:sz w:val="24"/>
          <w:szCs w:val="24"/>
        </w:rPr>
        <w:t>При этом установленное заказчиком содержание показателя, раскрывающее соответствующий критерий оценки, в том числе информация и документы, не должны приводить к ограничению конкуренции, в том числе к необоснованному ограничению числа участников закупки.</w:t>
      </w:r>
    </w:p>
    <w:p>
      <w:pPr>
        <w:ind w:left="0" w:leftChars="0" w:firstLine="1200" w:firstLineChars="500"/>
        <w:jc w:val="right"/>
        <w:rPr>
          <w:rFonts w:hint="default" w:ascii="Times New Roman" w:hAnsi="Times New Roman" w:eastAsia="serif" w:cs="Times New Roman"/>
          <w:i w:val="0"/>
          <w:iCs w:val="0"/>
          <w:caps w:val="0"/>
          <w:color w:val="464C55"/>
          <w:spacing w:val="0"/>
          <w:sz w:val="24"/>
          <w:szCs w:val="24"/>
        </w:rPr>
      </w:pPr>
    </w:p>
    <w:p>
      <w:pPr>
        <w:ind w:left="0" w:leftChars="0" w:firstLine="1200" w:firstLineChars="500"/>
        <w:jc w:val="right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serif" w:cs="Times New Roman"/>
          <w:i w:val="0"/>
          <w:iCs w:val="0"/>
          <w:caps w:val="0"/>
          <w:color w:val="auto"/>
          <w:spacing w:val="0"/>
          <w:sz w:val="24"/>
          <w:szCs w:val="24"/>
        </w:rPr>
        <w:t>П.В. Иванов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827F53"/>
    <w:rsid w:val="1E82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iPriority w:val="0"/>
    <w:rPr>
      <w:color w:val="0000FF"/>
      <w:u w:val="single"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2023-05-12T03:28:00Z</dcterms:created>
  <dc:creator>rahma</dc:creator>
  <cp:lastModifiedBy>rahma</cp:lastModifiedBy>
  <dcterms:modified xsi:type="dcterms:W3CDTF">2023-05-12T03:42:17Z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0C8F765C1EDB425D9A2A82A83A2E4E55</vt:lpwstr>
  </property>
</Properties>
</file>