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Межрегиональная общественная организация по содействию развитию строительной отрасли СОЮЗ ИНЖЕНЕРОВ –СМЕТЧИКОВ 192007, Санкт-Петербург, ул. Воронежская, д. 96, тел. +7(812) 326-2270, 2271, 2272, 2273, факс. +7(812) 326-2278, 2271; E-mail: rccs@rccs.spb.ru; www.kccs.ru РАЗЪЯСНЕНИЕ О замене материалов по смете в процессе исполнения государственного (муниципального) контракта</w:t>
      </w:r>
    </w:p>
    <w:p>
      <w:pPr>
        <w:ind w:left="0" w:leftChars="0" w:firstLine="480" w:firstLineChars="2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Если в процессе исполнения государственного (муниципального) контракта возникла необходимость замены материалов учтенных сметной документацией (в том числе сметными нормативами), Союз инженеров-сметчиков рекомендует руководствоваться СЛЕДУЮЩИМ: </w:t>
      </w:r>
    </w:p>
    <w:p>
      <w:pPr>
        <w:numPr>
          <w:ilvl w:val="0"/>
          <w:numId w:val="1"/>
        </w:numPr>
        <w:ind w:left="0" w:leftChars="0" w:firstLine="480" w:firstLineChars="2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Любая замена материалов не должна приводить к изменению состава и видов соответствующих работ по контракту. </w:t>
      </w:r>
    </w:p>
    <w:p>
      <w:pPr>
        <w:numPr>
          <w:ilvl w:val="0"/>
          <w:numId w:val="1"/>
        </w:numPr>
        <w:ind w:left="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Если технические и функциональные характеристики конкретных материалов установлены в технической части заявки, техническом задании в составе конкурсной документации, в том числе в форме «Сведения о качестве, технических характеристиках товара, его безопасности, функциональных характеристиках товара», то при замене таких материалов следует руководствоваться положениями ч. 7 ст. 95 Закона о контрактной системе с учетом следующих положений:</w:t>
      </w:r>
    </w:p>
    <w:p>
      <w:pPr>
        <w:numPr>
          <w:numId w:val="0"/>
        </w:numPr>
        <w:ind w:leftChars="2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по согласованию заказчика с подрядчиком допускается замена на материалы,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контракте. </w:t>
      </w:r>
    </w:p>
    <w:p>
      <w:pPr>
        <w:numPr>
          <w:numId w:val="0"/>
        </w:numPr>
        <w:ind w:leftChars="2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такое изменение оформляется путем подписания дополнительного соглашения к контракту (при согласии заказчика) и подлежит отражению в реестре контрактов. </w:t>
      </w:r>
    </w:p>
    <w:p>
      <w:pPr>
        <w:numPr>
          <w:numId w:val="0"/>
        </w:numPr>
        <w:ind w:leftChars="2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замена материалов производится без изменения установленной цены контракта. В случае замены материалов на улучшенные цена контракта не может быть изменена. - изменять условия контракта в части материалов, качество, а также технические и функциональные характеристики которых аналогичные или ухудшенные, недопустимо (прим. Письмо Минэкономразвития России от 30.05.2016 № Д28и-1402 и др.).</w:t>
      </w:r>
    </w:p>
    <w:p>
      <w:pPr>
        <w:numPr>
          <w:numId w:val="0"/>
        </w:numPr>
        <w:ind w:leftChars="2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возможность предложить материалы, изделия и конструкции (оборудование),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 предусмотрена только после заключения контракта на этапе его исполнения. </w:t>
      </w:r>
    </w:p>
    <w:p>
      <w:pPr>
        <w:numPr>
          <w:ilvl w:val="0"/>
          <w:numId w:val="1"/>
        </w:numPr>
        <w:ind w:left="0" w:leftChars="0" w:firstLine="480" w:firstLineChars="2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По остальным материалам, входящим в состав соответствующих сметных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норм по смете (ГЭСН, ФЕР, ТЕР) и разработанных на основе принципов усреднения, минимальной необходимости и достаточности, исполнитель работ (подрядчик) вправе самостоятельно 2 https://smetnoedelo.ru определить их номенклатуру и количество исходя из технологии производства работ и производственных норм. При этом сами принятые сметные нормы (расценки) по смете корректировке не подлежат. Общий принцип - разделяем материалы, относящиеся к условиям контракта и технологические материалы, замена которых не меняет принципиально технологию и состав вида работ и не приводит к снижению их качества. Также следует учесть, что если заказчик в документации о закупке установил технические и функциональные характеристики ВСЕХ МАТЕРИАЛОВ по смете, то замена материалов возможна только с соблюдением положений ч. 7 ст. 95 Закона о контрактной системе. По мнению Союза инженеров-сметчиков это представляется излишним, а рекомендации для заказчиков приведены в разъяснении Союза "О ФОРМИРОВАНИИ ПЕРЕЧНЯ СТРОИТЕЛЬНЫХ МАТЕРИАЛОВ В КОНКУРСНОЙ ДОКУМЕНТАЦИИ".</w:t>
      </w:r>
    </w:p>
    <w:p>
      <w:pPr>
        <w:numPr>
          <w:numId w:val="0"/>
        </w:numPr>
        <w:ind w:leftChars="2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numId w:val="0"/>
        </w:numPr>
        <w:ind w:leftChars="2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Президент Союза П.В. Горячкин </w:t>
      </w:r>
    </w:p>
    <w:p>
      <w:pPr>
        <w:numPr>
          <w:numId w:val="0"/>
        </w:numPr>
        <w:ind w:leftChars="2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numId w:val="0"/>
        </w:num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Пример из судебной практики: Дело о неосновательном обогащении по результатам контрольной проверки. </w:t>
      </w:r>
    </w:p>
    <w:p>
      <w:pPr>
        <w:numPr>
          <w:numId w:val="0"/>
        </w:num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«Суд установил, что к разнице в стоимости выполненных работ привели несогласованные с заказчиком в установленном порядке действия подрядчика, повлекшие несоответствие фактически примененного строительного материала тому, который предусмотрен проектно-сметной документацией (подрядчик вместо полнотелого одинарного кирпича размером 250х120х65, использовал утолщенный пустотелый кирпич размером 250х120х130, качество, технические и функциональные характеристики которого не являются улучшенными).</w:t>
      </w:r>
    </w:p>
    <w:p>
      <w:pPr>
        <w:numPr>
          <w:numId w:val="0"/>
        </w:num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С учетом изложенного, судебные инстанции правомерно взыскали с подрядчика ... рублей неосновательного обогащения». </w:t>
      </w:r>
    </w:p>
    <w:p>
      <w:pPr>
        <w:numPr>
          <w:numId w:val="0"/>
        </w:numPr>
        <w:ind w:left="0" w:leftChars="0" w:firstLine="398" w:firstLineChars="166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</w:rPr>
        <w:t>(Из Постановления Арбитражного суда Северо-Кавказского округа от 4 сентября 2018 г. по делу N А15-6050/2017).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9E886"/>
    <w:multiLevelType w:val="singleLevel"/>
    <w:tmpl w:val="7539E88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D0443"/>
    <w:rsid w:val="6E7D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2023-02-06T03:15:00Z</dcterms:created>
  <dc:creator>rahma</dc:creator>
  <cp:lastModifiedBy>rahma</cp:lastModifiedBy>
  <dcterms:modified xsi:type="dcterms:W3CDTF">2023-02-06T04:29:21Z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6249E2798D19497F9C0CD8B78F75FC70</vt:lpwstr>
  </property>
</Properties>
</file>