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1205" w:firstLineChars="500"/>
        <w:jc w:val="center"/>
        <w:rPr>
          <w:rFonts w:hint="default" w:ascii="Times New Roman" w:hAnsi="Times New Roman"/>
          <w:b/>
          <w:bCs/>
          <w:color w:val="auto"/>
          <w:sz w:val="24"/>
          <w:szCs w:val="24"/>
          <w:lang w:val="ru-RU"/>
        </w:rPr>
      </w:pPr>
      <w:r>
        <w:rPr>
          <w:rFonts w:hint="default" w:ascii="Times New Roman" w:hAnsi="Times New Roman"/>
          <w:b/>
          <w:bCs/>
          <w:color w:val="auto"/>
          <w:sz w:val="24"/>
          <w:szCs w:val="24"/>
          <w:lang w:val="ru-RU"/>
        </w:rPr>
        <w:t>МИНИСТЕРСТВО ФИНАНСОВ РОССИЙСКОЙ ФЕДЕРАЦИИ</w:t>
      </w:r>
    </w:p>
    <w:p>
      <w:pPr>
        <w:ind w:left="0" w:leftChars="0" w:firstLine="1205" w:firstLineChars="500"/>
        <w:jc w:val="center"/>
        <w:rPr>
          <w:rFonts w:hint="default" w:ascii="Times New Roman" w:hAnsi="Times New Roman"/>
          <w:b/>
          <w:bCs/>
          <w:color w:val="auto"/>
          <w:sz w:val="24"/>
          <w:szCs w:val="24"/>
          <w:lang w:val="ru-RU"/>
        </w:rPr>
      </w:pPr>
    </w:p>
    <w:p>
      <w:pPr>
        <w:ind w:left="0" w:leftChars="0" w:firstLine="1205" w:firstLineChars="500"/>
        <w:jc w:val="center"/>
        <w:rPr>
          <w:rFonts w:hint="default" w:ascii="Times New Roman" w:hAnsi="Times New Roman"/>
          <w:b/>
          <w:bCs/>
          <w:color w:val="auto"/>
          <w:sz w:val="24"/>
          <w:szCs w:val="24"/>
          <w:lang w:val="ru-RU"/>
        </w:rPr>
      </w:pPr>
      <w:r>
        <w:rPr>
          <w:rFonts w:hint="default" w:ascii="Times New Roman" w:hAnsi="Times New Roman"/>
          <w:b/>
          <w:bCs/>
          <w:color w:val="auto"/>
          <w:sz w:val="24"/>
          <w:szCs w:val="24"/>
          <w:lang w:val="ru-RU"/>
        </w:rPr>
        <w:t>ПИСЬМО</w:t>
      </w:r>
    </w:p>
    <w:p>
      <w:pPr>
        <w:ind w:left="0" w:leftChars="0" w:firstLine="1205" w:firstLineChars="500"/>
        <w:jc w:val="center"/>
        <w:rPr>
          <w:rFonts w:hint="default" w:ascii="Times New Roman" w:hAnsi="Times New Roman"/>
          <w:b/>
          <w:bCs/>
          <w:color w:val="auto"/>
          <w:sz w:val="24"/>
          <w:szCs w:val="24"/>
          <w:lang w:val="ru-RU"/>
        </w:rPr>
      </w:pPr>
      <w:r>
        <w:rPr>
          <w:rFonts w:hint="default" w:ascii="Times New Roman" w:hAnsi="Times New Roman"/>
          <w:b/>
          <w:bCs/>
          <w:color w:val="auto"/>
          <w:sz w:val="24"/>
          <w:szCs w:val="24"/>
          <w:lang w:val="ru-RU"/>
        </w:rPr>
        <w:t>от 2 июня 2023 г. № 24-06-06/50959</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 </w:t>
      </w:r>
    </w:p>
    <w:p>
      <w:pPr>
        <w:ind w:left="0" w:leftChars="0" w:firstLine="1200" w:firstLineChars="500"/>
        <w:jc w:val="both"/>
        <w:rPr>
          <w:rFonts w:hint="default" w:ascii="Times New Roman" w:hAnsi="Times New Roman"/>
          <w:color w:val="auto"/>
          <w:sz w:val="24"/>
          <w:szCs w:val="24"/>
          <w:lang w:val="ru-RU"/>
        </w:rPr>
      </w:pPr>
      <w:bookmarkStart w:id="0" w:name="_GoBack"/>
      <w:r>
        <w:rPr>
          <w:rFonts w:hint="default" w:ascii="Times New Roman" w:hAnsi="Times New Roman"/>
          <w:color w:val="auto"/>
          <w:sz w:val="24"/>
          <w:szCs w:val="24"/>
          <w:lang w:val="ru-RU"/>
        </w:rPr>
        <w:t>Департамент бюджетной политики в сфере контрактной системы Минфина России (далее - Департамент), рассмотрев обращение от 04.05.2023 по вопросу о применении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осуществления закупок на выполнение строительных работ, сообщает следующее.</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 соответствии с Положением о Министерстве финансов Российской Федерации, утвержденным постановлением Правительства Российской Федерации от 30.06.2004 №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Согласно пункту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Вместе с тем в рамках компетенции Департамента полагаем необходимым отметить следующее.</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Особенности заключения и исполнения контрактов, предметом которых являются строительство, реконструкция объектов капитального строительства, установлены статьей 110.2 Закона № 44-ФЗ.</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Так, в соответствии с частью 4 статьи 110.2 Закона № 44-ФЗ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Частью 5 статьи 110.2 Закона № 44-ФЗ установлено, что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 (часть 6 статьи 110.2 Закона № 44-ФЗ).</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Согласно части 6.1 статьи 110.2 Закона № 44-ФЗ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кодексом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 соответствии с частью 7 статьи 110.2 Закона № 44-ФЗ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Так, приказом Минстроя России от 23.12.2019 № 841/пр </w:t>
      </w:r>
      <w:r>
        <w:rPr>
          <w:rFonts w:hint="default" w:ascii="Times New Roman" w:hAnsi="Times New Roman"/>
          <w:color w:val="auto"/>
          <w:sz w:val="24"/>
          <w:szCs w:val="24"/>
          <w:lang w:val="ru-RU"/>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(далее - Методика)</w:t>
      </w:r>
      <w:r>
        <w:rPr>
          <w:rFonts w:hint="default" w:ascii="Times New Roman" w:hAnsi="Times New Roman"/>
          <w:color w:val="auto"/>
          <w:sz w:val="24"/>
          <w:szCs w:val="24"/>
          <w:lang w:val="ru-RU"/>
        </w:rPr>
        <w:t xml:space="preserve"> утверждена Методика составления сметы контракта, предметом которого являются строительство, реконструкция объектов капитального строительства. </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Методика определяет общие правила составления сметы указанного контракта при его заключении и внесении изменений в такой контракт в соответствии с Законом № 44-ФЗ.</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Кроме того, приказом Минстроя России от 14.01.2020 № 9/пр утверждены типовые условия контрактов на выполнение работ по строительству (реконструкции) объекта капитального строительства и информационной карты типовых условий контракта (далее - Приказ № 9/пр, Типовой контракт).</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Применение Типового контракта обязательно при условии одновременного соответствия показателей для применения типового контракта, указанных в информационной карте, утвержденной Приказом № 9/пр, данным, характеризующим конкретную закупку, до утверждения Правительством Российской Федерации типовых условий контрактов в части, не противоречащей Закону № 44-ФЗ.</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Согласно пункту 5.1 Типового контракта приемка и оплата выполненных работ, в том числе их отдельных этапов, осуществляются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условий контракта, в соответствии с Гражданским кодексом Российской Федерации.</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С учетом изложенного заказчик при осуществлении приемки и оплаты выполненных работ (отдельных этапов выполненных работ) по заключенному контракту на строительство, реконструкцию объекта капитального строительства руководствуется положениями Закона № 44-ФЗ, Методики, а также положениями Типового контракта.</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Дополнительно Департамент обращает внимание, что вопрос о наличии либо об отсутствии признаков нарушения Закона № 44-ФЗ рассматривается органом исполнительной власти, уполномоченным на осуществление контроля (надзора) в сфере закупок товаров, работ, услуг для обеспечения государственных и муниципальных нужд, в каждом конкретном случае, исходя из всех обстоятельств дела.</w:t>
      </w:r>
    </w:p>
    <w:bookmarkEnd w:id="0"/>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 </w:t>
      </w:r>
    </w:p>
    <w:p>
      <w:pPr>
        <w:ind w:left="0" w:leftChars="0" w:firstLine="1200" w:firstLineChars="500"/>
        <w:jc w:val="right"/>
        <w:rPr>
          <w:rFonts w:hint="default" w:ascii="Times New Roman" w:hAnsi="Times New Roman"/>
          <w:color w:val="auto"/>
          <w:sz w:val="24"/>
          <w:szCs w:val="24"/>
          <w:lang w:val="ru-RU"/>
        </w:rPr>
      </w:pPr>
      <w:r>
        <w:rPr>
          <w:rFonts w:hint="default" w:ascii="Times New Roman" w:hAnsi="Times New Roman"/>
          <w:color w:val="auto"/>
          <w:sz w:val="24"/>
          <w:szCs w:val="24"/>
          <w:lang w:val="ru-RU"/>
        </w:rPr>
        <w:t>Заместитель директора Департамента</w:t>
      </w:r>
    </w:p>
    <w:p>
      <w:pPr>
        <w:ind w:left="0" w:leftChars="0" w:firstLine="1200" w:firstLineChars="500"/>
        <w:jc w:val="right"/>
        <w:rPr>
          <w:rFonts w:hint="default" w:ascii="Times New Roman" w:hAnsi="Times New Roman"/>
          <w:color w:val="auto"/>
          <w:sz w:val="24"/>
          <w:szCs w:val="24"/>
          <w:lang w:val="ru-RU"/>
        </w:rPr>
      </w:pPr>
      <w:r>
        <w:rPr>
          <w:rFonts w:hint="default" w:ascii="Times New Roman" w:hAnsi="Times New Roman"/>
          <w:color w:val="auto"/>
          <w:sz w:val="24"/>
          <w:szCs w:val="24"/>
          <w:lang w:val="ru-RU"/>
        </w:rPr>
        <w:t>Д.А.ГОТОВЦЕВ</w:t>
      </w:r>
    </w:p>
    <w:p>
      <w:pPr>
        <w:ind w:left="0" w:leftChars="0" w:firstLine="1200" w:firstLineChars="500"/>
        <w:jc w:val="right"/>
        <w:rPr>
          <w:rFonts w:hint="default" w:ascii="Times New Roman" w:hAnsi="Times New Roman"/>
          <w:color w:val="auto"/>
          <w:sz w:val="24"/>
          <w:szCs w:val="24"/>
          <w:lang w:val="ru-RU"/>
        </w:rPr>
      </w:pPr>
      <w:r>
        <w:rPr>
          <w:rFonts w:hint="default" w:ascii="Times New Roman" w:hAnsi="Times New Roman"/>
          <w:color w:val="auto"/>
          <w:sz w:val="24"/>
          <w:szCs w:val="24"/>
          <w:lang w:val="ru-RU"/>
        </w:rPr>
        <w:t>02.06.2023</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E0007"/>
    <w:rsid w:val="20DB7903"/>
    <w:rsid w:val="70AE0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2023-07-10T01:56:00Z</dcterms:created>
  <dc:creator>rahma</dc:creator>
  <cp:lastModifiedBy>rahma</cp:lastModifiedBy>
  <dcterms:modified xsi:type="dcterms:W3CDTF">2023-07-10T02:36:06Z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BCAEE4EE5703456295B3D5D3F59BC380</vt:lpwstr>
  </property>
</Properties>
</file>