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A1" w:rsidRPr="00D55AA1" w:rsidRDefault="00D55AA1" w:rsidP="00D55AA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AA1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D55AA1" w:rsidRPr="00D55AA1" w:rsidRDefault="00D55AA1" w:rsidP="00D55AA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AA1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D55AA1" w:rsidRPr="00D55AA1" w:rsidRDefault="00D55AA1" w:rsidP="00D55AA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AA1">
        <w:rPr>
          <w:rFonts w:ascii="Times New Roman" w:hAnsi="Times New Roman" w:cs="Times New Roman"/>
          <w:b/>
          <w:sz w:val="24"/>
          <w:szCs w:val="24"/>
        </w:rPr>
        <w:t>от 21 декабря 2023 г. 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AA1">
        <w:rPr>
          <w:rFonts w:ascii="Times New Roman" w:hAnsi="Times New Roman" w:cs="Times New Roman"/>
          <w:b/>
          <w:sz w:val="24"/>
          <w:szCs w:val="24"/>
        </w:rPr>
        <w:t>02-02-05/124353 “О применении КОСГУ в отношении расходов по предоставлению субсидий бюджетным, автономным учреждениям на иные цели”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 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Муниципального казенного учреждения, направленное письмом от 24.11.2023, о порядке отражения в бухгалтерском учете поступлений субсидии бюджетным (автономным) учреждениям на иные цели (далее - обращение) и сообщает следующее.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AA1">
        <w:rPr>
          <w:rFonts w:ascii="Times New Roman" w:hAnsi="Times New Roman" w:cs="Times New Roman"/>
          <w:sz w:val="24"/>
          <w:szCs w:val="24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Министерство финансов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актов, практик их применения, а</w:t>
      </w:r>
      <w:proofErr w:type="gramEnd"/>
      <w:r w:rsidRPr="00D55AA1">
        <w:rPr>
          <w:rFonts w:ascii="Times New Roman" w:hAnsi="Times New Roman" w:cs="Times New Roman"/>
          <w:sz w:val="24"/>
          <w:szCs w:val="24"/>
        </w:rPr>
        <w:t xml:space="preserve"> также оценки конкретных хозяйственных операций.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Вместе с тем Департамент обращает внимание на следующее.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 xml:space="preserve">В соответствии с частью 3.1 статьи 7 Федерального закона от 06.12.2011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5AA1">
        <w:rPr>
          <w:rFonts w:ascii="Times New Roman" w:hAnsi="Times New Roman" w:cs="Times New Roman"/>
          <w:sz w:val="24"/>
          <w:szCs w:val="24"/>
        </w:rPr>
        <w:t xml:space="preserve"> 402-ФЗ "О бухгалтерском учете"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5AA1">
        <w:rPr>
          <w:rFonts w:ascii="Times New Roman" w:hAnsi="Times New Roman" w:cs="Times New Roman"/>
          <w:sz w:val="24"/>
          <w:szCs w:val="24"/>
        </w:rPr>
        <w:t xml:space="preserve"> 402-ФЗ) порядок передачи полномочий по ведению бухгалтерского учета и представлению бухгалтерской (финансовой) отчетности организациями бюджетной сферы, к которым относятся государственные (муниципальные) бюджетные и автономные учреждения, устанавливается бюджетным законодательством Российской Федерации.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Основополагающим документом, устанавливающим общие принципы бюджетного законодательства Российской Федерации, организации и функционирования бюджетной системы Российской Федерации, правовое положение субъектов бюджетных правоотношений, определяющим основы бюджетного процесса и межбюджетных отношений в Российской Федерации, является Бюджетный кодекс Российской Федерации (далее - Бюджетный кодекс).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В соответствии с положениями Бюджетного кодекса единая методология бюджетного учета, составления, представления и утверждения бюджетной отчетности, а также бухгалтерского учета и бухгалтерской (финансовой) отчетности государственных (муниципальных) учреждений устанавливается Министерством финансов Российской Федерации.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 xml:space="preserve">Систему нормативных правовых актов, регулирующих ведение учета и составление бухгалтерской (финансовой) отчетности учреждений, в том числе вопросы передачи полномочий по ведению бухгалтерского учета, включая составление </w:t>
      </w:r>
      <w:r w:rsidRPr="00D55AA1">
        <w:rPr>
          <w:rFonts w:ascii="Times New Roman" w:hAnsi="Times New Roman" w:cs="Times New Roman"/>
          <w:sz w:val="24"/>
          <w:szCs w:val="24"/>
        </w:rPr>
        <w:lastRenderedPageBreak/>
        <w:t>бухгалтерской (финансовой) отчетности государственных (муниципальных) бюджетных (автономных) учреждений, составляют федеральные стандарты бухгалтерского учета государственных финансов и инструкции, утверждаемые Министерством финансов Российской Федерации.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 xml:space="preserve">Согласно статье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5AA1">
        <w:rPr>
          <w:rFonts w:ascii="Times New Roman" w:hAnsi="Times New Roman" w:cs="Times New Roman"/>
          <w:sz w:val="24"/>
          <w:szCs w:val="24"/>
        </w:rPr>
        <w:t xml:space="preserve"> 402-ФЗ под бухгалтерским учетом понимается формирование документированной систематизированной информации об объектах бухгалтерского учета (нефинансовых и финансовых активах, обязательствах Российской Федерации, субъектов Российской Федерации и муниципальных образований) и составление на ее основе бухгалтерской (финансовой) отчетности.</w:t>
      </w:r>
    </w:p>
    <w:p w:rsidR="00D55AA1" w:rsidRPr="00D55AA1" w:rsidRDefault="00D55AA1" w:rsidP="00A8090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 xml:space="preserve">Единые правила применения кодов классификации операций сектора государственного управления (далее - КОСГУ) для ведения бюджетного (бухгалтерского) учета, составления бюджетной (бухгалтерской) и иной финансовой отчетности установлены Порядком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г. </w:t>
      </w:r>
      <w:r w:rsidR="00A80905">
        <w:rPr>
          <w:rFonts w:ascii="Times New Roman" w:hAnsi="Times New Roman" w:cs="Times New Roman"/>
          <w:sz w:val="24"/>
          <w:szCs w:val="24"/>
        </w:rPr>
        <w:t>№</w:t>
      </w:r>
      <w:r w:rsidRPr="00D55AA1">
        <w:rPr>
          <w:rFonts w:ascii="Times New Roman" w:hAnsi="Times New Roman" w:cs="Times New Roman"/>
          <w:sz w:val="24"/>
          <w:szCs w:val="24"/>
        </w:rPr>
        <w:t xml:space="preserve"> 209н (далее - Порядок </w:t>
      </w:r>
      <w:r w:rsidR="00A80905">
        <w:rPr>
          <w:rFonts w:ascii="Times New Roman" w:hAnsi="Times New Roman" w:cs="Times New Roman"/>
          <w:sz w:val="24"/>
          <w:szCs w:val="24"/>
        </w:rPr>
        <w:t>№</w:t>
      </w:r>
      <w:r w:rsidRPr="00D55AA1">
        <w:rPr>
          <w:rFonts w:ascii="Times New Roman" w:hAnsi="Times New Roman" w:cs="Times New Roman"/>
          <w:sz w:val="24"/>
          <w:szCs w:val="24"/>
        </w:rPr>
        <w:t xml:space="preserve"> 209н).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 xml:space="preserve">Согласно пункту 3 Порядка </w:t>
      </w:r>
      <w:r w:rsidR="00A80905">
        <w:rPr>
          <w:rFonts w:ascii="Times New Roman" w:hAnsi="Times New Roman" w:cs="Times New Roman"/>
          <w:sz w:val="24"/>
          <w:szCs w:val="24"/>
        </w:rPr>
        <w:t>№</w:t>
      </w:r>
      <w:r w:rsidRPr="00D55AA1">
        <w:rPr>
          <w:rFonts w:ascii="Times New Roman" w:hAnsi="Times New Roman" w:cs="Times New Roman"/>
          <w:sz w:val="24"/>
          <w:szCs w:val="24"/>
        </w:rPr>
        <w:t xml:space="preserve"> 209н классификация операций сектора государственного управления является группировкой операций, осуществляемых сектором государственного управления, в зависимости от их экономического содержания.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AA1">
        <w:rPr>
          <w:rFonts w:ascii="Times New Roman" w:hAnsi="Times New Roman" w:cs="Times New Roman"/>
          <w:sz w:val="24"/>
          <w:szCs w:val="24"/>
        </w:rPr>
        <w:t xml:space="preserve">В соответствии с пунктом 7 Порядка </w:t>
      </w:r>
      <w:r w:rsidR="00A80905">
        <w:rPr>
          <w:rFonts w:ascii="Times New Roman" w:hAnsi="Times New Roman" w:cs="Times New Roman"/>
          <w:sz w:val="24"/>
          <w:szCs w:val="24"/>
        </w:rPr>
        <w:t>№</w:t>
      </w:r>
      <w:r w:rsidRPr="00D55AA1">
        <w:rPr>
          <w:rFonts w:ascii="Times New Roman" w:hAnsi="Times New Roman" w:cs="Times New Roman"/>
          <w:sz w:val="24"/>
          <w:szCs w:val="24"/>
        </w:rPr>
        <w:t xml:space="preserve"> 209н перечисления капитального характера направлены на осуществление получателями расходов капитального характера (капитальных вложений), формирующих (увеличивающих) основные фонды - недвижимое и (или) движимое имущество, признаваемое в целях бухгалтерского учета объектами основных средств, нематериальных активов, </w:t>
      </w:r>
      <w:proofErr w:type="spellStart"/>
      <w:r w:rsidRPr="00D55AA1">
        <w:rPr>
          <w:rFonts w:ascii="Times New Roman" w:hAnsi="Times New Roman" w:cs="Times New Roman"/>
          <w:sz w:val="24"/>
          <w:szCs w:val="24"/>
        </w:rPr>
        <w:t>непроизведенных</w:t>
      </w:r>
      <w:proofErr w:type="spellEnd"/>
      <w:r w:rsidRPr="00D55AA1">
        <w:rPr>
          <w:rFonts w:ascii="Times New Roman" w:hAnsi="Times New Roman" w:cs="Times New Roman"/>
          <w:sz w:val="24"/>
          <w:szCs w:val="24"/>
        </w:rPr>
        <w:t xml:space="preserve"> активов, в том числе расходы на осуществление капитальных вложений в объекты капитального строительства и (или) на приобретение объектов недвижимого имущества (на</w:t>
      </w:r>
      <w:proofErr w:type="gramEnd"/>
      <w:r w:rsidRPr="00D55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5AA1">
        <w:rPr>
          <w:rFonts w:ascii="Times New Roman" w:hAnsi="Times New Roman" w:cs="Times New Roman"/>
          <w:sz w:val="24"/>
          <w:szCs w:val="24"/>
        </w:rPr>
        <w:t xml:space="preserve">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имущества, приобретение (создание) объектов </w:t>
      </w:r>
      <w:proofErr w:type="spellStart"/>
      <w:r w:rsidRPr="00D55AA1">
        <w:rPr>
          <w:rFonts w:ascii="Times New Roman" w:hAnsi="Times New Roman" w:cs="Times New Roman"/>
          <w:sz w:val="24"/>
          <w:szCs w:val="24"/>
        </w:rPr>
        <w:t>непроизведенных</w:t>
      </w:r>
      <w:proofErr w:type="spellEnd"/>
      <w:r w:rsidRPr="00D55AA1">
        <w:rPr>
          <w:rFonts w:ascii="Times New Roman" w:hAnsi="Times New Roman" w:cs="Times New Roman"/>
          <w:sz w:val="24"/>
          <w:szCs w:val="24"/>
        </w:rPr>
        <w:t xml:space="preserve"> активов), на осуществление капитальных вложений в объекты дочерних обществ государственных корпораций (компаний), публично-правовых компаний, на приобретение (создание) основных фондов - объектов, признаваемых для целей бухгалтерского учета основными средствами, приобретение (создание) программного обеспечения иных результатов интеллектуальной деятельности, признаваемых объектами нематериальных активов</w:t>
      </w:r>
      <w:proofErr w:type="gramEnd"/>
      <w:r w:rsidRPr="00D55AA1">
        <w:rPr>
          <w:rFonts w:ascii="Times New Roman" w:hAnsi="Times New Roman" w:cs="Times New Roman"/>
          <w:sz w:val="24"/>
          <w:szCs w:val="24"/>
        </w:rPr>
        <w:t>, в том числе в рамках научно-исследовательских и опытно-конструкторских работ.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К перечислениям текущего характера относятся безвозмездные перечисления, не отнесенные к перечислениям капитального характера.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 xml:space="preserve">Если целями предоставления средств предусматривается (планируется) </w:t>
      </w:r>
      <w:proofErr w:type="gramStart"/>
      <w:r w:rsidRPr="00D55AA1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D55AA1">
        <w:rPr>
          <w:rFonts w:ascii="Times New Roman" w:hAnsi="Times New Roman" w:cs="Times New Roman"/>
          <w:sz w:val="24"/>
          <w:szCs w:val="24"/>
        </w:rPr>
        <w:t xml:space="preserve"> как капитальных вложений, так и расходов текущего характера (не являющихся капитальными вложениями) и на капитальные вложения предусматривается 80 процентов и более средств от общего объема предоставляемых средств, то указанные перечисления (поступления) признаются перечислениями (поступлениями) капитального характера. Если целями предоставления средств предусматривается (планируется) </w:t>
      </w:r>
      <w:proofErr w:type="gramStart"/>
      <w:r w:rsidRPr="00D55AA1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D55AA1">
        <w:rPr>
          <w:rFonts w:ascii="Times New Roman" w:hAnsi="Times New Roman" w:cs="Times New Roman"/>
          <w:sz w:val="24"/>
          <w:szCs w:val="24"/>
        </w:rPr>
        <w:t xml:space="preserve"> как капитальных вложений, так и расходов текущего характера, при этом достоверно определить долю средств на капитальные вложения и текущие расходы не </w:t>
      </w:r>
      <w:r w:rsidRPr="00D55AA1">
        <w:rPr>
          <w:rFonts w:ascii="Times New Roman" w:hAnsi="Times New Roman" w:cs="Times New Roman"/>
          <w:sz w:val="24"/>
          <w:szCs w:val="24"/>
        </w:rPr>
        <w:lastRenderedPageBreak/>
        <w:t>представляется возможным, то указанные перечисления (поступления) признаются перечислениями (поступлениями) текущего характера. К таким поступлениям, перечислениям, например, могут быть отнесены субвенции, консолидированные (единые) субсидии бюджетам бюджетной системы Российской Федерации, гранты в форме субсидий юридическим лицам, субсидии государственным (муниципальным) бюджетным, автономным учреждениям на иные цели.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По мнению Департамента, расходы следует отражать по соответствующим подстатьям (текущего, капитального характера) по отдельным мероприятиям (направлениям использования) субсидий на иные цели.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Так, расходы по предоставлению субсидий бюджетным, автономным учреждениям: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на капитальный ремонт, комплексную безопасность, заработную плату и отчисления подлежат отражению по подстатье 241 "Безвозмездные перечисления (передачи) текущего характера сектора государственного управления" КОСГУ;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на благоустройство территории, в рамках которого будут созданы основные средства, - по подстатье 281 "Безвозмездные перечисления капитального характера государственным (муниципальным) учреждениям" КОСГУ;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на выплаты педагогам за звание "Заслуженный педагог области" - по подстатье 241 "Безвозмездные перечисления (передачи) текущего характера сектора государственного управления" КОСГУ;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на выплаты разовых стипендий и премий детям - по подстатье 241 "Безвозмездные перечисления (передачи) текущего характера сектора государственного управления" КОСГУ;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на приобретение оборудования - 281 "Безвозмездные перечисления капитального характера государственным (муниципальным) учреждениям" КОСГУ.</w:t>
      </w:r>
    </w:p>
    <w:p w:rsidR="00D55AA1" w:rsidRPr="00D55AA1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 </w:t>
      </w:r>
    </w:p>
    <w:p w:rsidR="00D55AA1" w:rsidRPr="00D55AA1" w:rsidRDefault="00D55AA1" w:rsidP="00A80905">
      <w:pPr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D55AA1" w:rsidRPr="00D55AA1" w:rsidRDefault="00D55AA1" w:rsidP="00A80905">
      <w:pPr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бюджетной методологии</w:t>
      </w:r>
    </w:p>
    <w:p w:rsidR="00D55AA1" w:rsidRPr="00D55AA1" w:rsidRDefault="00D55AA1" w:rsidP="00A80905">
      <w:pPr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и финансовой отчетности</w:t>
      </w:r>
    </w:p>
    <w:p w:rsidR="00D55AA1" w:rsidRPr="00D55AA1" w:rsidRDefault="00D55AA1" w:rsidP="00A80905">
      <w:pPr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в государственном секторе</w:t>
      </w:r>
    </w:p>
    <w:p w:rsidR="00D55AA1" w:rsidRPr="00D55AA1" w:rsidRDefault="00D55AA1" w:rsidP="00A80905">
      <w:pPr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С.В.СИВЕЦ</w:t>
      </w:r>
    </w:p>
    <w:p w:rsidR="00D55AA1" w:rsidRPr="00D55AA1" w:rsidRDefault="00D55AA1" w:rsidP="00A80905">
      <w:pPr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21.12.2023</w:t>
      </w:r>
    </w:p>
    <w:p w:rsidR="00037C6C" w:rsidRPr="007D0015" w:rsidRDefault="00D55AA1" w:rsidP="00D55A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5AA1">
        <w:rPr>
          <w:rFonts w:ascii="Times New Roman" w:hAnsi="Times New Roman" w:cs="Times New Roman"/>
          <w:sz w:val="24"/>
          <w:szCs w:val="24"/>
        </w:rPr>
        <w:t> </w:t>
      </w:r>
    </w:p>
    <w:sectPr w:rsidR="00037C6C" w:rsidRPr="007D0015" w:rsidSect="00A8090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0015"/>
    <w:rsid w:val="00037C6C"/>
    <w:rsid w:val="0057552B"/>
    <w:rsid w:val="007D0015"/>
    <w:rsid w:val="00A80905"/>
    <w:rsid w:val="00D55AA1"/>
    <w:rsid w:val="00F9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2024-01-22T05:24:00Z</dcterms:created>
  <dcterms:modified xsi:type="dcterms:W3CDTF">2024-01-22T05:24:00Z</dcterms:modified>
</cp:coreProperties>
</file>