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94" w:rsidRPr="00B17994" w:rsidRDefault="00B17994" w:rsidP="00B17994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94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B17994" w:rsidRPr="00B17994" w:rsidRDefault="00B17994" w:rsidP="00B17994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94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17994" w:rsidRPr="00B17994" w:rsidRDefault="00B17994" w:rsidP="00B17994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b/>
          <w:sz w:val="24"/>
          <w:szCs w:val="24"/>
        </w:rPr>
        <w:t xml:space="preserve">от 6 февраля 2024 г. № 03-07-11/9483 "Об НДС в отношении затрат на страхование и банковские гарантии в рамках </w:t>
      </w:r>
      <w:proofErr w:type="spellStart"/>
      <w:r w:rsidRPr="00B17994">
        <w:rPr>
          <w:rFonts w:ascii="Times New Roman" w:hAnsi="Times New Roman" w:cs="Times New Roman"/>
          <w:b/>
          <w:sz w:val="24"/>
          <w:szCs w:val="24"/>
        </w:rPr>
        <w:t>госконтракта</w:t>
      </w:r>
      <w:proofErr w:type="spellEnd"/>
      <w:r w:rsidRPr="00B17994">
        <w:rPr>
          <w:rFonts w:ascii="Times New Roman" w:hAnsi="Times New Roman" w:cs="Times New Roman"/>
          <w:b/>
          <w:sz w:val="24"/>
          <w:szCs w:val="24"/>
        </w:rPr>
        <w:t>, предметом которого является реализация конструктивных решений (элементов) и комплексов (видов) работ"</w:t>
      </w:r>
    </w:p>
    <w:p w:rsidR="00B17994" w:rsidRPr="00B17994" w:rsidRDefault="00B17994" w:rsidP="00B179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 </w:t>
      </w:r>
    </w:p>
    <w:p w:rsidR="00B17994" w:rsidRPr="00B17994" w:rsidRDefault="00B17994" w:rsidP="00B179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В связи с обращением, зарегистрированным в Минфине России 26 января 2024 г., по вопросу применения налога на добавленную стоимость в ситуации и при условиях, изложенных в обращении, Департамент налоговой политики сообщает, что решение поставленного в обращении вопроса предполагает проведение анализа государственного контракта, заключенного организацией с государственным казенным учреждением.</w:t>
      </w:r>
    </w:p>
    <w:p w:rsidR="00B17994" w:rsidRPr="00B17994" w:rsidRDefault="00B17994" w:rsidP="00B179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 xml:space="preserve">В то же время согласно пункту 11.8 Регламента Министерства финансов Российской Федерации, утвержденного приказом Минфина России от 14 сентября 2018 г. </w:t>
      </w:r>
      <w:r w:rsidR="0055754B">
        <w:rPr>
          <w:rFonts w:ascii="Times New Roman" w:hAnsi="Times New Roman" w:cs="Times New Roman"/>
          <w:sz w:val="24"/>
          <w:szCs w:val="24"/>
        </w:rPr>
        <w:t>№</w:t>
      </w:r>
      <w:r w:rsidRPr="00B17994">
        <w:rPr>
          <w:rFonts w:ascii="Times New Roman" w:hAnsi="Times New Roman" w:cs="Times New Roman"/>
          <w:sz w:val="24"/>
          <w:szCs w:val="24"/>
        </w:rPr>
        <w:t xml:space="preserve"> 194н, в Минфине России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B17994" w:rsidRPr="00B17994" w:rsidRDefault="00B17994" w:rsidP="00B179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В связи с этим, а также учитывая, что положениями Кодекса не регулируются вопросы, касающиеся порядка определения цены государственного контракта и составления сметы государственного контракта, предметом которого является реализация конструктивных решений (элементов), комплексов (видов) работ, дать ответ по существу вопроса, изложенного в обращении, не представляется возможным.</w:t>
      </w:r>
    </w:p>
    <w:p w:rsidR="00B17994" w:rsidRPr="00B17994" w:rsidRDefault="00B17994" w:rsidP="00B179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994">
        <w:rPr>
          <w:rFonts w:ascii="Times New Roman" w:hAnsi="Times New Roman" w:cs="Times New Roman"/>
          <w:sz w:val="24"/>
          <w:szCs w:val="24"/>
        </w:rPr>
        <w:t>Одновременно отмечаем, что в соответствии с пунктом 1 статьи 154 Кодекса при реализации налогоплательщиком товаров (работ, услуг) налоговая база по налогу на добавленную стоимость определяется как стоимость этих товаров (работ, услуг), исчисленная исходя из цен, определяемых в соответствии со статьей 105.3 Кодекса, с учетом акцизов (для подакцизных товаров) и без включения в них налога.</w:t>
      </w:r>
      <w:proofErr w:type="gramEnd"/>
      <w:r w:rsidRPr="00B17994">
        <w:rPr>
          <w:rFonts w:ascii="Times New Roman" w:hAnsi="Times New Roman" w:cs="Times New Roman"/>
          <w:sz w:val="24"/>
          <w:szCs w:val="24"/>
        </w:rPr>
        <w:t xml:space="preserve"> При этом согласно абзацу третьему пункта 1 статьи 105.3 Кодекса цены, применяемые в сделках, сторонами которых являются лица, не признаваемые взаимозависимыми, признаются рыночными для целей Кодекса.</w:t>
      </w:r>
    </w:p>
    <w:p w:rsidR="00B17994" w:rsidRPr="00B17994" w:rsidRDefault="00B17994" w:rsidP="005575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 xml:space="preserve">Таким образом, налоговая база по налогу на добавленную стоимость в отношении реализуемых налогоплательщиком товаров (работ, услуг), цена которых </w:t>
      </w:r>
      <w:proofErr w:type="gramStart"/>
      <w:r w:rsidRPr="00B17994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B17994">
        <w:rPr>
          <w:rFonts w:ascii="Times New Roman" w:hAnsi="Times New Roman" w:cs="Times New Roman"/>
          <w:sz w:val="24"/>
          <w:szCs w:val="24"/>
        </w:rPr>
        <w:t xml:space="preserve"> в том числе с учетом стоимости товаров (работ, услуг), приобретаемых у других организаций и индивидуальных предпринимателей, определяется как договорная цена этих товаров (работ, услуг). </w:t>
      </w:r>
    </w:p>
    <w:p w:rsidR="00B17994" w:rsidRPr="00B17994" w:rsidRDefault="00B17994" w:rsidP="00557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17994" w:rsidRPr="00B17994" w:rsidRDefault="00B17994" w:rsidP="00557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В.А.ПРОКАЕВ</w:t>
      </w:r>
    </w:p>
    <w:p w:rsidR="00B17994" w:rsidRPr="00B17994" w:rsidRDefault="00B17994" w:rsidP="00557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06.02.2024</w:t>
      </w:r>
    </w:p>
    <w:p w:rsidR="00A81219" w:rsidRPr="00B17994" w:rsidRDefault="00B17994" w:rsidP="00B179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994">
        <w:rPr>
          <w:rFonts w:ascii="Times New Roman" w:hAnsi="Times New Roman" w:cs="Times New Roman"/>
          <w:sz w:val="24"/>
          <w:szCs w:val="24"/>
        </w:rPr>
        <w:t> </w:t>
      </w:r>
    </w:p>
    <w:sectPr w:rsidR="00A81219" w:rsidRPr="00B17994" w:rsidSect="005575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94"/>
    <w:rsid w:val="0055754B"/>
    <w:rsid w:val="00A81219"/>
    <w:rsid w:val="00B1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2024-04-08T03:51:00Z</dcterms:created>
  <dcterms:modified xsi:type="dcterms:W3CDTF">2024-04-08T04:07:00Z</dcterms:modified>
</cp:coreProperties>
</file>