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CB" w:rsidRPr="00D52ACB" w:rsidRDefault="00D52ACB" w:rsidP="00D52AC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ACB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D52ACB" w:rsidRPr="00D52ACB" w:rsidRDefault="00D52ACB" w:rsidP="00D52AC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ACB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52ACB" w:rsidRPr="00D52ACB" w:rsidRDefault="00D52ACB" w:rsidP="00D52ACB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ACB">
        <w:rPr>
          <w:rFonts w:ascii="Times New Roman" w:hAnsi="Times New Roman" w:cs="Times New Roman"/>
          <w:b/>
          <w:sz w:val="24"/>
          <w:szCs w:val="24"/>
        </w:rPr>
        <w:t xml:space="preserve">от 17 января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D52ACB">
        <w:rPr>
          <w:rFonts w:ascii="Times New Roman" w:hAnsi="Times New Roman" w:cs="Times New Roman"/>
          <w:b/>
          <w:sz w:val="24"/>
          <w:szCs w:val="24"/>
        </w:rPr>
        <w:t xml:space="preserve"> 02-17-09/3229 "О перечислении неустойки по контракту (договору) с лицевого счета участника казначейского сопровождения в Федеральном казначействе на расчетный счет в кредитной организации"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 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ACB">
        <w:rPr>
          <w:rFonts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ППК от 7 декабря 2023 г. по вопросу возможности перечисления остатка средств, возникшего в результате удержания неустойки, с лицевого счета участника казначейского сопровождения, открытого ППК в территориальном органе Федерального казначейства, на расчетный счет, открытый указанному юридическому лицу в кредитной организации (далее соответственно - лицевой</w:t>
      </w:r>
      <w:proofErr w:type="gramEnd"/>
      <w:r w:rsidRPr="00D52ACB">
        <w:rPr>
          <w:rFonts w:ascii="Times New Roman" w:hAnsi="Times New Roman" w:cs="Times New Roman"/>
          <w:sz w:val="24"/>
          <w:szCs w:val="24"/>
        </w:rPr>
        <w:t xml:space="preserve"> счет, расчетный счет), и сообщает.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2ACB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</w:t>
      </w:r>
      <w:proofErr w:type="gramStart"/>
      <w:r w:rsidRPr="00D52ACB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D52ACB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ситуаций.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ACB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2ACB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Уплата поставщиком (подрядчиком, исполнителем) неустойки (штрафа, пеней) является мерой ответственности за неисполнение или ненадлежащее исполнение им условий гражданско-правовой сделки.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 xml:space="preserve">Согласно пункту 3 статьи 250 Налогового кодекса Российской Федерации </w:t>
      </w:r>
      <w:proofErr w:type="spellStart"/>
      <w:r w:rsidRPr="00D52ACB">
        <w:rPr>
          <w:rFonts w:ascii="Times New Roman" w:hAnsi="Times New Roman" w:cs="Times New Roman"/>
          <w:sz w:val="24"/>
          <w:szCs w:val="24"/>
        </w:rPr>
        <w:t>внереализационными</w:t>
      </w:r>
      <w:proofErr w:type="spellEnd"/>
      <w:r w:rsidRPr="00D52ACB">
        <w:rPr>
          <w:rFonts w:ascii="Times New Roman" w:hAnsi="Times New Roman" w:cs="Times New Roman"/>
          <w:sz w:val="24"/>
          <w:szCs w:val="24"/>
        </w:rPr>
        <w:t xml:space="preserve"> доходами признаются доходы в виде подлежащих уплате должником за нарушение договорных обязательств сумм возмещения убытков.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Согласно положениям статьи 41 Бюджетного кодекса Российской Федерации (далее - Бюджетный кодекс) средства от применения мер гражданско-правовой ответственности в случае, если стороной договора является получатель бюджетных средств, действующий от имени публично-правового образования, относятся к неналоговым доходам бюджетов бюджетной системы Российской Федерации и подлежат зачислению в соответствующий бюджет.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lastRenderedPageBreak/>
        <w:t>ППК в соответствии с бюджетным законодательством Российской Федерации не является получателем бюджетных средств.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ACB">
        <w:rPr>
          <w:rFonts w:ascii="Times New Roman" w:hAnsi="Times New Roman" w:cs="Times New Roman"/>
          <w:sz w:val="24"/>
          <w:szCs w:val="24"/>
        </w:rPr>
        <w:t>В соответствии с пунктом 2 статьи 242.23 Бюджетного кодекса операции со средствами, подлежащими казначейскому сопровождению (далее - целевые средства), осуществляются на казначейских счетах, открытых в территориальных органах Федерального казначейства, и отражаются на лицевых счетах после проведения территориальным органом Федерального казначейства санкционирования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утвержденный приказом Министерства финансов</w:t>
      </w:r>
      <w:proofErr w:type="gramEnd"/>
      <w:r w:rsidRPr="00D52ACB">
        <w:rPr>
          <w:rFonts w:ascii="Times New Roman" w:hAnsi="Times New Roman" w:cs="Times New Roman"/>
          <w:sz w:val="24"/>
          <w:szCs w:val="24"/>
        </w:rPr>
        <w:t xml:space="preserve"> Российской Федерации от 17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2ACB">
        <w:rPr>
          <w:rFonts w:ascii="Times New Roman" w:hAnsi="Times New Roman" w:cs="Times New Roman"/>
          <w:sz w:val="24"/>
          <w:szCs w:val="24"/>
        </w:rPr>
        <w:t xml:space="preserve"> 214н (далее -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2ACB">
        <w:rPr>
          <w:rFonts w:ascii="Times New Roman" w:hAnsi="Times New Roman" w:cs="Times New Roman"/>
          <w:sz w:val="24"/>
          <w:szCs w:val="24"/>
        </w:rPr>
        <w:t xml:space="preserve"> 214н).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2ACB">
        <w:rPr>
          <w:rFonts w:ascii="Times New Roman" w:hAnsi="Times New Roman" w:cs="Times New Roman"/>
          <w:sz w:val="24"/>
          <w:szCs w:val="24"/>
        </w:rPr>
        <w:t xml:space="preserve">Согласно пунктам 4 и 21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2ACB">
        <w:rPr>
          <w:rFonts w:ascii="Times New Roman" w:hAnsi="Times New Roman" w:cs="Times New Roman"/>
          <w:sz w:val="24"/>
          <w:szCs w:val="24"/>
        </w:rPr>
        <w:t xml:space="preserve"> 214н санкционирование расходов, источником финансового обеспечения которых являются целевые средства, связанных с поставкой товаров (выполнением работ, оказанием услуг), осуществляется в соответствии со Сведениями об операциях с целевыми средствами на 20_ год и на плановый период 20__ - 20__ годов (далее - Сведения) при представлении участником казначейского сопровождения в территориальный орган Федерального казначейства вместе с распоряжением о</w:t>
      </w:r>
      <w:proofErr w:type="gramEnd"/>
      <w:r w:rsidRPr="00D52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ACB">
        <w:rPr>
          <w:rFonts w:ascii="Times New Roman" w:hAnsi="Times New Roman" w:cs="Times New Roman"/>
          <w:sz w:val="24"/>
          <w:szCs w:val="24"/>
        </w:rPr>
        <w:t>совершении</w:t>
      </w:r>
      <w:proofErr w:type="gramEnd"/>
      <w:r w:rsidRPr="00D52ACB">
        <w:rPr>
          <w:rFonts w:ascii="Times New Roman" w:hAnsi="Times New Roman" w:cs="Times New Roman"/>
          <w:sz w:val="24"/>
          <w:szCs w:val="24"/>
        </w:rPr>
        <w:t xml:space="preserve"> казначейского платежа на оплату указанных расходов (далее - распоряжение) контракта (договора) и документов, подтверждающих возникновение денежного обязательства.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В Сведениях указываются источники поступлений целевых сре</w:t>
      </w:r>
      <w:proofErr w:type="gramStart"/>
      <w:r w:rsidRPr="00D52AC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52ACB">
        <w:rPr>
          <w:rFonts w:ascii="Times New Roman" w:hAnsi="Times New Roman" w:cs="Times New Roman"/>
          <w:sz w:val="24"/>
          <w:szCs w:val="24"/>
        </w:rPr>
        <w:t xml:space="preserve">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2ACB">
        <w:rPr>
          <w:rFonts w:ascii="Times New Roman" w:hAnsi="Times New Roman" w:cs="Times New Roman"/>
          <w:sz w:val="24"/>
          <w:szCs w:val="24"/>
        </w:rPr>
        <w:t xml:space="preserve"> 2 к Порядку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2ACB">
        <w:rPr>
          <w:rFonts w:ascii="Times New Roman" w:hAnsi="Times New Roman" w:cs="Times New Roman"/>
          <w:sz w:val="24"/>
          <w:szCs w:val="24"/>
        </w:rPr>
        <w:t xml:space="preserve"> 214н, а также направления их расходования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2ACB">
        <w:rPr>
          <w:rFonts w:ascii="Times New Roman" w:hAnsi="Times New Roman" w:cs="Times New Roman"/>
          <w:sz w:val="24"/>
          <w:szCs w:val="24"/>
        </w:rPr>
        <w:t xml:space="preserve"> 3 к Порядку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2ACB">
        <w:rPr>
          <w:rFonts w:ascii="Times New Roman" w:hAnsi="Times New Roman" w:cs="Times New Roman"/>
          <w:sz w:val="24"/>
          <w:szCs w:val="24"/>
        </w:rPr>
        <w:t xml:space="preserve"> 214н, соответствующие результатам (предмету) и условиям контракта (договора).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Учитывая изложенное, Департамент считает возможным перечисление неустойки с лицевого счета ППК на ее расчетный счет при условии представления документов, подтверждающих исполнение обязательств по контракту (договору), условиями которого предусмотрено право заказчика на удержание суммы неустойки. При этом в Сведениях указывается укрупненный код направления расходования целевых средств 0991 "Выплаты по окончательным расчетам", в распоряжении указывается детализированный код направления расходования целевых средств 0991 001 "Выплаты по окончательным расчетам, осуществляемые после исполнения участником казначейского сопровождения всех обязательств по государственному (муниципальному) контракту, контракту (договору)".</w:t>
      </w:r>
    </w:p>
    <w:p w:rsidR="00D52ACB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 </w:t>
      </w:r>
    </w:p>
    <w:p w:rsidR="00D52ACB" w:rsidRPr="00D52ACB" w:rsidRDefault="00D52ACB" w:rsidP="00D52ACB">
      <w:pPr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D52ACB" w:rsidRPr="00D52ACB" w:rsidRDefault="00D52ACB" w:rsidP="00D52ACB">
      <w:pPr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С.В.РОМАНОВ</w:t>
      </w:r>
    </w:p>
    <w:p w:rsidR="00D52ACB" w:rsidRPr="00D52ACB" w:rsidRDefault="00D52ACB" w:rsidP="00D52ACB">
      <w:pPr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17.01.2024</w:t>
      </w:r>
    </w:p>
    <w:p w:rsidR="00C36A6C" w:rsidRPr="00D52ACB" w:rsidRDefault="00D52ACB" w:rsidP="00D52ACB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52ACB">
        <w:rPr>
          <w:rFonts w:ascii="Times New Roman" w:hAnsi="Times New Roman" w:cs="Times New Roman"/>
          <w:sz w:val="24"/>
          <w:szCs w:val="24"/>
        </w:rPr>
        <w:t> </w:t>
      </w:r>
    </w:p>
    <w:sectPr w:rsidR="00C36A6C" w:rsidRPr="00D52ACB" w:rsidSect="00D52A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7C54"/>
    <w:rsid w:val="00C36A6C"/>
    <w:rsid w:val="00C87C54"/>
    <w:rsid w:val="00D52ACB"/>
    <w:rsid w:val="00E2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2024-05-13T06:09:00Z</dcterms:created>
  <dcterms:modified xsi:type="dcterms:W3CDTF">2024-05-13T06:09:00Z</dcterms:modified>
</cp:coreProperties>
</file>