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50" w:rsidRDefault="007B4450" w:rsidP="007B4450">
      <w:pPr>
        <w:shd w:val="clear" w:color="auto" w:fill="F8F8F8"/>
        <w:spacing w:after="100" w:afterAutospacing="1" w:line="380" w:lineRule="atLeast"/>
        <w:ind w:firstLine="1276"/>
        <w:jc w:val="center"/>
        <w:outlineLvl w:val="0"/>
        <w:rPr>
          <w:rFonts w:ascii="Times New Roman" w:eastAsia="Times New Roman" w:hAnsi="Times New Roman" w:cs="Times New Roman"/>
          <w:b/>
          <w:bCs/>
          <w:color w:val="2A3143"/>
          <w:kern w:val="36"/>
          <w:sz w:val="28"/>
          <w:szCs w:val="28"/>
          <w:lang w:val="en-US" w:eastAsia="ru-RU"/>
        </w:rPr>
      </w:pPr>
      <w:r w:rsidRPr="007B4450">
        <w:rPr>
          <w:rFonts w:ascii="Times New Roman" w:eastAsia="Times New Roman" w:hAnsi="Times New Roman" w:cs="Times New Roman"/>
          <w:b/>
          <w:bCs/>
          <w:color w:val="2A3143"/>
          <w:kern w:val="36"/>
          <w:sz w:val="28"/>
          <w:szCs w:val="28"/>
          <w:lang w:eastAsia="ru-RU"/>
        </w:rPr>
        <w:t>Письмо Минфина России от 30.07.2024 № 02-06-06/70843 «Методические рекомендации по применению отдельных унифицированных форм электронных документов, утвержденных приказом № 61н, в рамках реализации электронного документооборота»</w:t>
      </w:r>
    </w:p>
    <w:p w:rsidR="007B4450" w:rsidRPr="007B4450" w:rsidRDefault="007B4450" w:rsidP="007B4450">
      <w:pPr>
        <w:shd w:val="clear" w:color="auto" w:fill="F8F8F8"/>
        <w:spacing w:after="100" w:afterAutospacing="1" w:line="380" w:lineRule="atLeast"/>
        <w:ind w:firstLine="1276"/>
        <w:jc w:val="center"/>
        <w:outlineLvl w:val="0"/>
        <w:rPr>
          <w:rFonts w:ascii="Times New Roman" w:eastAsia="Times New Roman" w:hAnsi="Times New Roman" w:cs="Times New Roman"/>
          <w:b/>
          <w:bCs/>
          <w:color w:val="2A3143"/>
          <w:kern w:val="36"/>
          <w:sz w:val="28"/>
          <w:szCs w:val="28"/>
          <w:lang w:val="en-US" w:eastAsia="ru-RU"/>
        </w:rPr>
      </w:pPr>
    </w:p>
    <w:p w:rsidR="007B4450" w:rsidRPr="007B4450" w:rsidRDefault="007B4450" w:rsidP="007B4450">
      <w:pPr>
        <w:pStyle w:val="a3"/>
        <w:shd w:val="clear" w:color="auto" w:fill="FFFFFF"/>
        <w:spacing w:before="0" w:beforeAutospacing="0" w:after="360" w:afterAutospacing="0"/>
        <w:ind w:firstLine="1276"/>
        <w:jc w:val="both"/>
        <w:rPr>
          <w:color w:val="2A3143"/>
        </w:rPr>
      </w:pPr>
      <w:proofErr w:type="gramStart"/>
      <w:r w:rsidRPr="007B4450">
        <w:rPr>
          <w:color w:val="2A3143"/>
        </w:rPr>
        <w:t>Министерство финансов Российской Федерации в целях методологического сопровождения применения унифицированных форм электронных первичных учетных документов бухгалтерского учета, утвержденных приказом Министерства финансов Российской Федерации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по результатам рассмотрения вопросов участников</w:t>
      </w:r>
      <w:proofErr w:type="gramEnd"/>
      <w:r w:rsidRPr="007B4450">
        <w:rPr>
          <w:color w:val="2A3143"/>
        </w:rPr>
        <w:t xml:space="preserve"> Всероссийских совещаний, проводимых по федеральным округам Министерством финансов Российской Федерации в 2023 году, по применению унифицированных электронных первичных учетных документов: Накладной на внутреннее перемещение объектов нефинансовых активов (ф. 0510450), Требования-накладной (ф. 0510451), Заявки-обоснования закупки товаров, работ, услуг малого объема через подотчетное лицо (ф. 0510521), Акта о результатах инвентаризации наличных денежных средств (ф. 0510836), оформляющих факты хозяйственной жизни в рамках электронного документооборота, подготовило Методические рекомендации по их применению (далее – Методические рекомендации).</w:t>
      </w:r>
    </w:p>
    <w:p w:rsidR="007B4450" w:rsidRPr="007B4450" w:rsidRDefault="007B4450" w:rsidP="007B4450">
      <w:pPr>
        <w:pStyle w:val="a3"/>
        <w:shd w:val="clear" w:color="auto" w:fill="FFFFFF"/>
        <w:spacing w:before="0" w:beforeAutospacing="0" w:after="360" w:afterAutospacing="0"/>
        <w:ind w:firstLine="1276"/>
        <w:jc w:val="both"/>
        <w:rPr>
          <w:color w:val="2A3143"/>
        </w:rPr>
      </w:pPr>
      <w:r w:rsidRPr="007B4450">
        <w:rPr>
          <w:color w:val="2A3143"/>
        </w:rPr>
        <w:t xml:space="preserve">Кроме того, дополнительно сообщаем, что при наличии у работника (сотрудника) электронной цифровой подписи (ЭЦП), подписание информации ЭЦП вместо простой электронной подписи (простой ЭП), в </w:t>
      </w:r>
      <w:proofErr w:type="gramStart"/>
      <w:r w:rsidRPr="007B4450">
        <w:rPr>
          <w:color w:val="2A3143"/>
        </w:rPr>
        <w:t>случаях</w:t>
      </w:r>
      <w:proofErr w:type="gramEnd"/>
      <w:r w:rsidRPr="007B4450">
        <w:rPr>
          <w:color w:val="2A3143"/>
        </w:rPr>
        <w:t xml:space="preserve"> предусмотренных в Методических рекомендациях, не противоречит законодательству Российской Федерации.</w:t>
      </w:r>
    </w:p>
    <w:p w:rsidR="007B4450" w:rsidRPr="007B4450" w:rsidRDefault="007B4450" w:rsidP="007B445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rStyle w:val="a4"/>
          <w:bCs/>
          <w:i w:val="0"/>
          <w:color w:val="2A3143"/>
          <w:lang w:val="en-US"/>
        </w:rPr>
      </w:pPr>
      <w:r w:rsidRPr="007B4450">
        <w:rPr>
          <w:color w:val="2A3143"/>
        </w:rPr>
        <w:t>Методические рекомендации по применению указанных унифицированных форм электронных первичных учетных документов, прилагаемые к ним примеры заполнения и бизнес-процессы размещены на официальном сайте Министерства финансов Российской Федерации в разделе «Деятельность/Бюджет/Учет, отчетность и статистика государственных финансов/ Учет и отчетность о государственных финансах/</w:t>
      </w:r>
      <w:r w:rsidRPr="007B4450">
        <w:rPr>
          <w:rStyle w:val="a4"/>
          <w:bCs/>
          <w:i w:val="0"/>
          <w:color w:val="2A3143"/>
        </w:rPr>
        <w:t xml:space="preserve"> Учет государственных финансов/Методический кабинет». </w:t>
      </w:r>
    </w:p>
    <w:p w:rsidR="007B4450" w:rsidRPr="007B4450" w:rsidRDefault="007B4450" w:rsidP="007B445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rStyle w:val="a4"/>
          <w:bCs/>
          <w:i w:val="0"/>
          <w:color w:val="2A3143"/>
          <w:lang w:val="en-US"/>
        </w:rPr>
      </w:pPr>
    </w:p>
    <w:p w:rsidR="007B4450" w:rsidRPr="007B4450" w:rsidRDefault="007B4450" w:rsidP="007B445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2A3143"/>
        </w:rPr>
      </w:pPr>
    </w:p>
    <w:p w:rsidR="007B4450" w:rsidRPr="007B4450" w:rsidRDefault="007B4450" w:rsidP="007B4450">
      <w:pPr>
        <w:pStyle w:val="a3"/>
        <w:shd w:val="clear" w:color="auto" w:fill="FFFFFF"/>
        <w:spacing w:before="0" w:beforeAutospacing="0" w:after="360" w:afterAutospacing="0"/>
        <w:jc w:val="both"/>
        <w:rPr>
          <w:color w:val="2A3143"/>
        </w:rPr>
      </w:pPr>
      <w:r w:rsidRPr="007B4450">
        <w:rPr>
          <w:color w:val="2A3143"/>
        </w:rPr>
        <w:t>А.М.Лавров</w:t>
      </w:r>
    </w:p>
    <w:p w:rsidR="00AD0C69" w:rsidRPr="007B4450" w:rsidRDefault="00AD0C69" w:rsidP="007B445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AD0C69" w:rsidRPr="007B4450" w:rsidSect="00AD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50"/>
    <w:rsid w:val="007B4450"/>
    <w:rsid w:val="00AD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69"/>
  </w:style>
  <w:style w:type="paragraph" w:styleId="1">
    <w:name w:val="heading 1"/>
    <w:basedOn w:val="a"/>
    <w:link w:val="10"/>
    <w:uiPriority w:val="9"/>
    <w:qFormat/>
    <w:rsid w:val="007B4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44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1859</Characters>
  <Application>Microsoft Office Word</Application>
  <DocSecurity>0</DocSecurity>
  <Lines>15</Lines>
  <Paragraphs>4</Paragraphs>
  <ScaleCrop>false</ScaleCrop>
  <Company>Krokoz™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2024-08-12T05:06:00Z</dcterms:created>
  <dcterms:modified xsi:type="dcterms:W3CDTF">2024-08-12T05:11:00Z</dcterms:modified>
</cp:coreProperties>
</file>