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ПРАВИТЕЛЬСТВО РОССИЙСКОЙ ФЕДЕРАЦИИ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dst100002"/>
      <w:bookmarkEnd w:id="0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ПОСТАНОВЛЕНИЕ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от 15 ноября 2017 г. N 1380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1" w:name="dst100003"/>
      <w:bookmarkEnd w:id="1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 ОСОБЕННОСТЯХ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ОПИСАНИЯ ЛЕКАРСТВЕННЫХ ПРЕПАРАТОВ </w:t>
      </w:r>
      <w:proofErr w:type="gramStart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</w:t>
      </w:r>
      <w:proofErr w:type="gramEnd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МЕДИЦИНСКОГО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ПРИМЕНЕНИЯ, </w:t>
      </w:r>
      <w:proofErr w:type="gramStart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ЯВЛЯЮЩИХСЯ</w:t>
      </w:r>
      <w:proofErr w:type="gramEnd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ОБЪЕКТОМ ЗАКУПКИ ДЛЯ ОБЕСПЕЧЕНИЯ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ГОСУДАРСТВЕННЫХ И МУНИЦИПАЛЬНЫХ НУЖД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A7F08">
        <w:rPr>
          <w:rFonts w:ascii="Arial" w:eastAsia="Times New Roman" w:hAnsi="Arial" w:cs="Arial"/>
          <w:color w:val="000000"/>
          <w:sz w:val="33"/>
          <w:lang w:eastAsia="ru-RU"/>
        </w:rPr>
        <w:t> 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04"/>
      <w:bookmarkEnd w:id="2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4" w:anchor="dst100398" w:history="1">
        <w:r w:rsidRPr="009A7F08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5 статьи 33</w:t>
        </w:r>
      </w:hyperlink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005"/>
      <w:bookmarkEnd w:id="3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 </w:t>
      </w:r>
      <w:hyperlink r:id="rId5" w:anchor="dst100010" w:history="1">
        <w:r w:rsidRPr="009A7F08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особенности</w:t>
        </w:r>
      </w:hyperlink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описания лекарственных препаратов для медицинского применения, являющихся объектом закупки для обеспечения государственных и муниципальных нужд.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06"/>
      <w:bookmarkEnd w:id="4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Министерству здравоохранения Российской Федерации, Министерству финансов Российской Федерации и Федеральной антимонопольной службе давать при необходимости разъяснения по применению документа, утвержденного настоящим постановлением.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07"/>
      <w:bookmarkEnd w:id="5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 1 января 2018 г.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08"/>
      <w:bookmarkEnd w:id="6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Д.МЕДВЕДЕВ</w:t>
      </w:r>
    </w:p>
    <w:p w:rsidR="009A7F08" w:rsidRDefault="009A7F08">
      <w:r>
        <w:br w:type="page"/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ОСОБЕННОСТИ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ОПИСАНИЯ ЛЕКАРСТВЕННЫХ ПРЕПАРАТОВ </w:t>
      </w:r>
      <w:proofErr w:type="gramStart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</w:t>
      </w:r>
      <w:proofErr w:type="gramEnd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МЕДИЦИНСКОГО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ПРИМЕНЕНИЯ, </w:t>
      </w:r>
      <w:proofErr w:type="gramStart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ЯВЛЯЮЩИХСЯ</w:t>
      </w:r>
      <w:proofErr w:type="gramEnd"/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ОБЪЕКТОМ ЗАКУПКИ ДЛЯ ОБЕСПЕЧЕНИЯ</w:t>
      </w:r>
    </w:p>
    <w:p w:rsidR="009A7F08" w:rsidRPr="009A7F08" w:rsidRDefault="009A7F08" w:rsidP="009A7F08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ГОСУДАРСТВЕННЫХ И МУНИЦИПАЛЬНЫХ НУЖД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A7F08">
        <w:rPr>
          <w:rFonts w:ascii="Arial" w:eastAsia="Times New Roman" w:hAnsi="Arial" w:cs="Arial"/>
          <w:color w:val="000000"/>
          <w:sz w:val="33"/>
          <w:lang w:eastAsia="ru-RU"/>
        </w:rPr>
        <w:t> 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11"/>
      <w:bookmarkEnd w:id="7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Настоящим документом устанавливаются особенности описания лекарственных препаратов для медицинского применения, являющихся объектом закупки для обеспечения государственных и муниципальных нужд (далее - лекарственные препараты), в документации о закупке лекарственных препаратов при осуществлении таких закупок (далее соответственно - документация о закупке, закупка).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12"/>
      <w:bookmarkEnd w:id="8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описании в документации о закупке заказчики помимо сведений, предусмотренных </w:t>
      </w:r>
      <w:hyperlink r:id="rId6" w:anchor="dst157" w:history="1">
        <w:r w:rsidRPr="009A7F08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пунктом 6 части 1 статьи 33</w:t>
        </w:r>
      </w:hyperlink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нужд", указывают: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13"/>
      <w:bookmarkEnd w:id="9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лекарственную форму препарата, </w:t>
      </w:r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эквивалентные лекарственные формы, за исключением описания лекарственной формы и ее характеристик, содержащихся в инструкциях по применению лекарственных препаратов и указывающих на конкретного производителя (например, описание цвета, формы, вкуса и др.);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14"/>
      <w:bookmarkEnd w:id="10"/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дозировку лекарственного препарата с возможностью поставки лекарственного препарата в кратной дозировке и двойном количестве (например, при закупке таблетки с дозировкой 300 мг в документации о закупке указывается: 1 таблетка с дозировкой 300 мг или 2 таблетки с дозировкой 150 мг),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 (например, флаконы 2,5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мг, или 3 мг, или 3,5 мг), допускается указание концентрации лекарственного препарата без установления кратности;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15"/>
      <w:bookmarkEnd w:id="11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остаточный срок годности лекарственного препарата, выраженный в единицах измерения времени (например, "не ранее 1 января 2020 г." или "не менее 12 месяцев </w:t>
      </w:r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заключения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контракта" и др.).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16"/>
      <w:bookmarkEnd w:id="12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описании объекта закупки в отношении: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17"/>
      <w:bookmarkEnd w:id="13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лекарственных препаратов в картриджах либо в иных формах выпуска, совместимых с устройствами введения (применения), - должно быть указание на возможность поставки лекарственных препаратов с условием безвозмездной передачи пациентам совместимых устрой</w:t>
      </w:r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вв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едения в количестве, соответствующем количеству пациентов, для обеспечения которых закупаются лекарственные препараты в картриджах;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18"/>
      <w:bookmarkEnd w:id="14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многокомпонентных (комбинированных) лекарственных препаратов, представляющих собой комбинацию 2 или более активных веществ (то есть активных веществ, входящих в состав комбинированного лекарственного препарата и зарегистрированных в составе однокомпонентных лекарственных препаратов), а также наборов зарегистрированных лекарственных препаратов - должно быть указание на возможность поставки однокомпонентных лекарственных препаратов;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19"/>
      <w:bookmarkEnd w:id="15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лекарственных препаратов, для которых могут быть установлены требования к их комплектации растворителем или устройством для разведения и введения лекарственного препарата, а также к наличию инструментов для вскрытия ампул (например, пилки), - должно быть указание на возможность поставки отдельных компонентов такой комплектации;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20"/>
      <w:bookmarkEnd w:id="16"/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лекарственных препаратов в формах выпуска: "шприц", "</w:t>
      </w:r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преднаполненный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шприц", "шприц-тюбик", "шприц-ручка" - должно быть указание на возможность поставки лекарственного препарата с устройством введения, соответствующим объему вводимого лекарственного препарата (например, при закупке </w:t>
      </w:r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преднаполненного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шприца объемом 1 мл может быть указана форма выпуска "ампула" с поставкой шприца объемом 1 мл или 2 мл), за исключением случаев, когда в документации о закупке содержится обоснование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закупки лекарственного препарата конкретной формы выпуска.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21"/>
      <w:bookmarkEnd w:id="17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описании объекта закупки допускается в отношении лекарственных препаратов: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22"/>
      <w:bookmarkEnd w:id="18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необходимых для назначения пациенту при наличии медицинских показаний (индивидуальная непереносимость, по жизненным показаниям) по решению врачебной комиссии медицинской организации, - указание на торговые наименования;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23"/>
      <w:bookmarkEnd w:id="19"/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предназначенных для парентерального применения, - указание на путь введения лекарственного препарата (для инъекций или для </w:t>
      </w:r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инфузий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24"/>
      <w:bookmarkEnd w:id="20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предназначенных исключительно для использования в педиатрической практике, - указание на возраст ребенка (от 0, с 3 месяцев, с 12 месяцев и т.д.).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25"/>
      <w:bookmarkEnd w:id="21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описании объекта закупки не допускается указывать: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26"/>
      <w:bookmarkEnd w:id="22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эквивалентные дозировки лекарственного препарата, предусматривающие необходимость деления твердой лекарственной формы препарата;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027"/>
      <w:bookmarkEnd w:id="23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дозировку лекарственного препарата в определенных единицах измерения при возможности конвертирования в иные единицы измерения (например, "МЕ" (международная единица) может быть конвертирована в "мг" или "процент" может быть конвертирован в "мг/мл" и т.д.);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028"/>
      <w:bookmarkEnd w:id="24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объем наполнения первичной упаковки лекарственного препарата, за исключением растворов для </w:t>
      </w:r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инфузий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0029"/>
      <w:bookmarkEnd w:id="25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(отсутствие) вспомогательных веществ;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dst100030"/>
      <w:bookmarkEnd w:id="26"/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фиксированный температурный режим хранения препаратов при наличии альтернативного;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0031"/>
      <w:bookmarkEnd w:id="27"/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форму выпуска (первичной упаковки) лекарственного препарата (например, "ампула", "флакон", "блистер" и др.);</w:t>
      </w:r>
      <w:proofErr w:type="gramEnd"/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dst100032"/>
      <w:bookmarkEnd w:id="28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количество единиц (таблеток, ампул) лекарственного препарата во вторичной упаковке, а также требование поставки конкретного количества упаковок вместо количества лекарственного препарата;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dst100033"/>
      <w:bookmarkEnd w:id="29"/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требования к показателям </w:t>
      </w:r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фармакодинамики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</w:t>
      </w:r>
      <w:proofErr w:type="spell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фармакокинетики</w:t>
      </w:r>
      <w:proofErr w:type="spell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лекарственного препарата (например, время начала действия, проявление максимального эффекта, продолжительность действия лекарственного препарата);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dst100034"/>
      <w:bookmarkEnd w:id="30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иные характеристики лекарственных препаратов, содержащиеся в инструкциях по применению лекарственных препаратов, указывающие на конкретного производителя лекарственного препарата.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dst100035"/>
      <w:bookmarkEnd w:id="31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Описание объекта закупки может содержать указание на характеристики, предусмотренные </w:t>
      </w:r>
      <w:hyperlink r:id="rId7" w:anchor="dst100028" w:history="1">
        <w:r w:rsidRPr="009A7F08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подпунктами "в"</w:t>
        </w:r>
      </w:hyperlink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hyperlink r:id="rId8" w:anchor="dst100034" w:history="1">
        <w:r w:rsidRPr="009A7F08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"и" пункта 5</w:t>
        </w:r>
      </w:hyperlink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документа, в случае, если не имеется иной возможности описать лекарственные препараты. При этом документация о закупке должна содержать: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dst100036"/>
      <w:bookmarkEnd w:id="32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обоснование необходимости указания таких характеристик;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dst100037"/>
      <w:bookmarkEnd w:id="33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показатели, позволяющие определить соответствие закупаемых лекарственных препаратов установленным характеристикам и максимальные </w:t>
      </w:r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(или) минимальные значения таких показателей, а также значения показателей, которые не могут изменяться.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dst100039"/>
      <w:bookmarkEnd w:id="34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При описании лекарственных препаратов, не включенных в перечень лекарственных средств, закупка которых осуществляется в соответствии с их торговыми наименованиями, в документации о закупке используется </w:t>
      </w:r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взаимозаменяемости лекарственных препаратов для медицинского применения, содержащаяся в перечне взаимозаменяемых лекарственных препаратов, размещенном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dst100040"/>
      <w:bookmarkEnd w:id="35"/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описании объекта закупки лекарственных препаратов для медицинского применения, информация о взаимозаменяемости которых содержится в указанном перечне, не допускается устанавливать требования к критериям взаимозаменяемости лекарственных препаратов, предусмотренным </w:t>
      </w:r>
      <w:hyperlink r:id="rId9" w:anchor="dst888" w:history="1">
        <w:r w:rsidRPr="009A7F08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2 статьи 27.1</w:t>
        </w:r>
      </w:hyperlink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"Об обращении лекарственных средств", если такие требования влекут за собой несоответствие описанию объекта закупки одного или нескольких лекарственных препаратов, включенных в одну группу взаимозаменяемости с лекарственными препаратами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описанию объекта закупки.</w:t>
      </w:r>
    </w:p>
    <w:p w:rsidR="009A7F08" w:rsidRPr="009A7F08" w:rsidRDefault="009A7F08" w:rsidP="009A7F08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(п. 7 </w:t>
      </w:r>
      <w:proofErr w:type="gramStart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</w:t>
      </w:r>
      <w:proofErr w:type="gramEnd"/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anchor="dst100006" w:history="1">
        <w:r w:rsidRPr="009A7F08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Постановлением</w:t>
        </w:r>
      </w:hyperlink>
      <w:r w:rsidRPr="009A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Правительства РФ от 04.09.2020 N 1357)</w:t>
      </w:r>
    </w:p>
    <w:p w:rsidR="007F50AE" w:rsidRDefault="007F50AE">
      <w:pPr>
        <w:rPr>
          <w:rFonts w:ascii="Times New Roman" w:hAnsi="Times New Roman" w:cs="Times New Roman"/>
          <w:sz w:val="28"/>
          <w:szCs w:val="28"/>
        </w:rPr>
      </w:pPr>
    </w:p>
    <w:p w:rsidR="00E84094" w:rsidRDefault="00E84094">
      <w:pPr>
        <w:rPr>
          <w:rFonts w:ascii="Times New Roman" w:hAnsi="Times New Roman" w:cs="Times New Roman"/>
          <w:sz w:val="28"/>
          <w:szCs w:val="28"/>
        </w:rPr>
      </w:pPr>
    </w:p>
    <w:p w:rsidR="00E84094" w:rsidRPr="00E84094" w:rsidRDefault="00E84094" w:rsidP="00E84094">
      <w:pPr>
        <w:pStyle w:val="1"/>
        <w:shd w:val="clear" w:color="auto" w:fill="FFFFFF"/>
        <w:spacing w:before="0" w:beforeAutospacing="0" w:after="144" w:afterAutospacing="0" w:line="327" w:lineRule="atLeast"/>
        <w:rPr>
          <w:b w:val="0"/>
          <w:color w:val="000000"/>
          <w:sz w:val="28"/>
          <w:szCs w:val="28"/>
        </w:rPr>
      </w:pPr>
      <w:r w:rsidRPr="00E84094">
        <w:rPr>
          <w:b w:val="0"/>
          <w:color w:val="000000"/>
          <w:sz w:val="28"/>
          <w:szCs w:val="28"/>
        </w:rPr>
        <w:t>Постановление Правительства РФ от 15.11.2017 N 1380 (ред. от 04.09.2020)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</w:t>
      </w:r>
    </w:p>
    <w:p w:rsidR="00E84094" w:rsidRPr="009A7F08" w:rsidRDefault="00E84094">
      <w:pPr>
        <w:rPr>
          <w:rFonts w:ascii="Times New Roman" w:hAnsi="Times New Roman" w:cs="Times New Roman"/>
          <w:sz w:val="28"/>
          <w:szCs w:val="28"/>
        </w:rPr>
      </w:pPr>
    </w:p>
    <w:sectPr w:rsidR="00E84094" w:rsidRPr="009A7F08" w:rsidSect="007F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A7F08"/>
    <w:rsid w:val="007F50AE"/>
    <w:rsid w:val="009A7F08"/>
    <w:rsid w:val="00E84094"/>
    <w:rsid w:val="00FC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AE"/>
  </w:style>
  <w:style w:type="paragraph" w:styleId="1">
    <w:name w:val="heading 1"/>
    <w:basedOn w:val="a"/>
    <w:link w:val="10"/>
    <w:uiPriority w:val="9"/>
    <w:qFormat/>
    <w:rsid w:val="009A7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F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A7F08"/>
  </w:style>
  <w:style w:type="character" w:customStyle="1" w:styleId="nobr">
    <w:name w:val="nobr"/>
    <w:basedOn w:val="a0"/>
    <w:rsid w:val="009A7F08"/>
  </w:style>
  <w:style w:type="character" w:customStyle="1" w:styleId="apple-converted-space">
    <w:name w:val="apple-converted-space"/>
    <w:basedOn w:val="a0"/>
    <w:rsid w:val="009A7F08"/>
  </w:style>
  <w:style w:type="character" w:styleId="a3">
    <w:name w:val="Hyperlink"/>
    <w:basedOn w:val="a0"/>
    <w:uiPriority w:val="99"/>
    <w:semiHidden/>
    <w:unhideWhenUsed/>
    <w:rsid w:val="009A7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66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6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3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8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6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6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4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1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8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4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93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777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8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1760/763848b40f75a093eac1d8b7ee78a650adc4f70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61760/763848b40f75a093eac1d8b7ee78a650adc4f70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1490/d6aec91603ff628ea274b8552ce2849e06e0aa4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61760/763848b40f75a093eac1d8b7ee78a650adc4f70a/" TargetMode="External"/><Relationship Id="rId10" Type="http://schemas.openxmlformats.org/officeDocument/2006/relationships/hyperlink" Target="http://www.consultant.ru/document/cons_doc_LAW_361721/92d969e26a4326c5d02fa79b8f9cf4994ee5633b/" TargetMode="External"/><Relationship Id="rId4" Type="http://schemas.openxmlformats.org/officeDocument/2006/relationships/hyperlink" Target="http://www.consultant.ru/document/cons_doc_LAW_351490/d6aec91603ff628ea274b8552ce2849e06e0aa4c/" TargetMode="External"/><Relationship Id="rId9" Type="http://schemas.openxmlformats.org/officeDocument/2006/relationships/hyperlink" Target="http://www.consultant.ru/document/cons_doc_LAW_357175/8ee673356bd013e508bc58b069693ea04bcc1a7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2020-09-11T10:02:00Z</dcterms:created>
  <dcterms:modified xsi:type="dcterms:W3CDTF">2020-09-11T10:15:00Z</dcterms:modified>
</cp:coreProperties>
</file>