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0A" w:rsidRPr="00523D0A" w:rsidRDefault="00523D0A" w:rsidP="00523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523D0A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Постановление Правительства РФ от 28 августа 2021 г.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34"/>
          <w:szCs w:val="34"/>
          <w:lang w:eastAsia="ru-RU"/>
        </w:rPr>
        <w:t> 1432</w:t>
      </w:r>
      <w:r w:rsidRPr="00523D0A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внесении изменений в некоторые акты Правительства Российской Федерации"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 изменения, которые вносятся в акты Правительства Российской Федерации.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со дня его официального опубликования и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523D0A" w:rsidRPr="00523D0A" w:rsidTr="00523D0A">
        <w:tc>
          <w:tcPr>
            <w:tcW w:w="3300" w:type="pct"/>
            <w:vAlign w:val="bottom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523D0A" w:rsidRPr="00523D0A" w:rsidRDefault="00523D0A" w:rsidP="00523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D0A" w:rsidRPr="00523D0A" w:rsidRDefault="00523D0A" w:rsidP="00523D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УТВЕРЖДЕНЫ</w:t>
      </w: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постановлением Правительства</w:t>
      </w: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Российской Федерации</w:t>
      </w: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от 28 августа 2021 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1432</w:t>
      </w:r>
    </w:p>
    <w:p w:rsidR="00523D0A" w:rsidRPr="00523D0A" w:rsidRDefault="00523D0A" w:rsidP="00523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523D0A">
        <w:rPr>
          <w:rFonts w:ascii="Times New Roman" w:eastAsia="Times New Roman" w:hAnsi="Times New Roman" w:cs="Times New Roman"/>
          <w:sz w:val="34"/>
          <w:szCs w:val="34"/>
          <w:lang w:eastAsia="ru-RU"/>
        </w:rPr>
        <w:t>Изменения,</w:t>
      </w:r>
      <w:r w:rsidRPr="00523D0A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которые вносятся в акты Правительства Российской Федерации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 перечне 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утвержденном постановлением Правительства Российской Федерации от 5 февраля 2015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6, ст. 979; 2019,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27, ст. 3578; 2020,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27, ст. 4245; 2021,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11, ст. 1828):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исключить следующие позиции: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0"/>
        <w:gridCol w:w="6985"/>
      </w:tblGrid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26.20.13.000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26.20.14.000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Радиологические информационные системы для получения, обработки, передачи и архивирования цифровых медицинских изображений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26.51.53.140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электрофореза белков сыворотки крови на пленках из ацетата целлюлозы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26.51.53.190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Амплификаторы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детектирующие для обеспечения исследований методом полимеразной цепной реакции в режиме реального времени; анализаторы белка в моче; анализаторы билирубина; анализаторы биохимические полуавтоматические; анализаторы свертывания крови;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гемоглобинометры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глюкометры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индивидуальные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26.51.70.110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Термостаты суховоздушные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26.60.11.111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Томографы компьютерные с количеством срезов от 1 до 64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26.60.11.112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26.60.11.113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Маммографы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рентгеновские аппараты передвижные палатные; рентгенодиагностические комплексы на 2 рабочих места;</w:t>
            </w:r>
          </w:p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рентгенодиагностические комплексы на 3 рабочих места;</w:t>
            </w:r>
          </w:p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рентгенодиагностические комплексы на базе телеуправляемого стола-штатива;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флюорографы</w:t>
            </w:r>
            <w:proofErr w:type="spellEnd"/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26.60.11.113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Рентгеновские аппараты передвижные хирургические (С-дуга)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26.60.11.113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26.60.12.110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26.60.12.129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32.50.21.112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Эндоскопические комплексы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26.60.11.120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однофотонной эмиссионной компьютерной томографии (гамма-камеры)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26.60.11.120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26.60.11.129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26.60.12.111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Электрокардиографы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26.60.12.119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26.60.12.129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27.40.39.110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32.50.13.190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Оториноскопы</w:t>
            </w:r>
            <w:proofErr w:type="spellEnd"/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26.60.12.119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26.60.12.129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32.50.13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Тонометры измерения внутриглазного давления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26.60.12.123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для исследования звуковых колебаний в органах человека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26.60.12.129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Анализаторы глюкозы;</w:t>
            </w:r>
          </w:p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кардиомониторы прикроватные;</w:t>
            </w:r>
          </w:p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комплексы суточного электрокардиографического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мониторирования</w:t>
            </w:r>
            <w:proofErr w:type="spellEnd"/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26.60.12.132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ультразвукового сканирования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26.60.13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Облучатели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фототерапевтические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неонатальные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26.60.13.190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32.50.13.190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Дефибрилляторы;</w:t>
            </w:r>
          </w:p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обогреватели детские неонатальные;</w:t>
            </w:r>
          </w:p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неонатальные с автоматическим поддержанием температуры обогрева новорожденных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27.40.39.10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Операционные и смотровые медицинские светильники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28.25.13.111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28.25.13.115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28.25.13.119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морозильники;</w:t>
            </w:r>
          </w:p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холодильники комбинированные лабораторные;</w:t>
            </w:r>
          </w:p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холодильники фармацевтические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28.25.14.110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оборудования для чистых помещений; оборудование и аппараты для фильтрования, обеззараживания и (или) очистки воздуха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32.50.13.190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электрохирургические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32.50.12.000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Стерилизаторы воздушные;</w:t>
            </w:r>
          </w:p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стерилизаторы паровые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32.50.21.121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для ингаляционного наркоза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32.50.21.121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32.50.21.122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32.50.21.129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искусственной вентиляции легких</w:t>
            </w:r>
          </w:p>
        </w:tc>
      </w:tr>
      <w:tr w:rsidR="00523D0A" w:rsidRPr="00523D0A" w:rsidTr="00523D0A">
        <w:tc>
          <w:tcPr>
            <w:tcW w:w="3105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32.99.59.000</w:t>
            </w:r>
          </w:p>
        </w:tc>
        <w:tc>
          <w:tcPr>
            <w:tcW w:w="697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 подвода медицинских газов и электропитания</w:t>
            </w:r>
          </w:p>
        </w:tc>
      </w:tr>
    </w:tbl>
    <w:p w:rsidR="00523D0A" w:rsidRPr="00523D0A" w:rsidRDefault="00523D0A" w:rsidP="00523D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 позиции, классифицируемой кодом 32.50.13.190, слова "Аппараты назальной респираторной поддержки дыхания новорожденных", "инкубаторы интенсивной терапии для новорожденных" и "</w:t>
      </w:r>
      <w:proofErr w:type="spellStart"/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кольпоскопы</w:t>
      </w:r>
      <w:proofErr w:type="spellEnd"/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" исключить.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Подпункт "а" пункта 5 Правил использования каталога товаров, работ, услуг для обеспечения государственных и муниципальных нужд, утвержденных постановлением Правительства Российской Федерации от 8 февраля 2017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(Собрание законодательства Российской Федерации, 2017,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7, ст. 1084; 2020,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28, ст. 4421;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49, ст. 7898), изложить в следующей редакции: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"а) осуществления закупки радиоэлектронной продукции, включенной в пункты 25</w:t>
      </w:r>
      <w:r w:rsidRPr="00523D0A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1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- 25</w:t>
      </w:r>
      <w:r w:rsidRPr="00523D0A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7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перечня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устанавливается запрет на допуск для целей осуществления закупок для государственных и муниципальных нужд, предусмотренного приложением к постановлению Правительства Российской Федерации от 30 апреля 2020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государства", при условии установления в соответствии с указанным постановлением запрета на допуск радиоэлектронной продукции, происходящей из иностранных государств, а также осуществления закупки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10 июля 2019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925 и признании утратившими силу некоторых актов Правительства Российской Федерации", при условии установления в соответствии с указанным 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ограничения на допуск радиоэлектронной продукции, происходящей из иностранных государств;".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 постановлении Правительства Российской Федерации от 10 июля 2019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925 и признании утратившими силу некоторых актов Правительства Российской Федерации" (Собрание законодательства Российской Федерации, 2019,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29, ст. 4023;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52, ст. 7983; 2020,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31, ст. 5192):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пункты 3 - 4 изложить в следующей редакции: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"3. Установить, что при осуществлении закупок радиоэлектронной продукции, включенной в перечень, заказчик отклоняет все заявки (окончательные предложения), содержащие предложения о поставке радиоэлектронной продукции, происходящей из иностранных государств (за исключением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 и (или) документации о закупке заявка (окончательное предложение), содержащая предложение о поставке радиоэлектронной продукции, произведенной на территориях государств - членов Евразийского экономического союза.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Подтверждением производства радиоэлектронной продукции является: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 - наличие сведений о такой продукции в реестре;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государства - члена Евразийского экономического союза - наличие сведений о такой продукции в евразийском реестре промышленных товаров государств - членов Евразийского экономического союза, формирование и ведение которого устанавливаются правом Евразийского экономического союза (далее - евразийский реестр промышленных товаров).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23D0A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1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Установить, что для подтверждения соответствия поставляемой радиоэлектронной продукции требованиям, установленным настоящим постановлением, участник закупки указывает (декларирует) в составе заявки на участие в закупке: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товаров, страной происхождения которых является Российская Федерация, - номера реестровых записей из реестра, а также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719 "О подтверждении производства промышленной продукции на территории Российской Федерации"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(далее - совокупное количество баллов). Информация о реестровых записях о товаре включается в контракт;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товаров, страной происхождения которых является государство - член Евразийского экономического союза, за исключением Российской Федерации, - номера реестровых записей из евразийского реестра промышленных товаров, а также 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информацию о совокупном количестве баллов за выполнение технологических операций (условий) на территории государства - члена Евразийского экономического союза, если такое предусмотрено решением Совета Евразийской экономической комиссии от 23 ноября 2020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105 "Об утверждении Правил определения страны происхождения отдельных видов товаров для целей государственных (муниципальных) закупок" (для продукции, в отношении которой установлены требования о совокупном количестве баллов за выполнение (освоение) соответствующих операций (условий). Информация о реестровых записях о товаре включается в контракт.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представления участником закупки в составе заявки информации из реестра или евразийского реестра промышленных товаров без указания совокупного количества баллов или с указанием совокупного количества баллов, установленного для целей осуществления закупок постановлением Правительства Российской Федерации от 17 июля 2015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719 "О подтверждении производства промышленной продукции на территории Российской Федерации", настоящим постановлением или решением Совета Евразийской экономической комиссии от 23 ноября 2020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105 "Об утверждении Правил определения страны происхождения отдельных видов товаров для целей государственных (муниципальных) закупок" соответственно, такая заявка приравнивается к заявке, в которой содержится предложение о поставке товаров, происходящих из иностранных государств.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реестровых записей из реестра не представляются при поставках вооружения, военной и специальной техники, принятых на вооружение, снабжение, в эксплуатацию, и (или) при поставках образцов вооружения, военной и специальной техники, разработанных в соответствии с конструкторской документацией с литерой не ниже "О</w:t>
      </w:r>
      <w:r w:rsidRPr="00523D0A">
        <w:rPr>
          <w:rFonts w:ascii="Times New Roman" w:eastAsia="Times New Roman" w:hAnsi="Times New Roman" w:cs="Times New Roman"/>
          <w:sz w:val="17"/>
          <w:szCs w:val="17"/>
          <w:vertAlign w:val="subscript"/>
          <w:lang w:eastAsia="ru-RU"/>
        </w:rPr>
        <w:t> 1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". Информация о таких товарах не подлежит включению в реестр.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контракта поставщик (подрядчик, исполнитель) при передаче товара (результатов работы) обязан представить заказчику документы, подтверждающие страну происхождения товара, на основании которых осуществляется включение продукции в реестр или евразийский реестр промышленных товаров.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Подавая заявку, участник закупки соглашается с условием о внесении сведений о таком товаре в реестр или евразийский реестр промышленных товаров, а также о необходимости представить на стадии исполнения контракта сведения и документы, указанные в настоящем пункте.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Установить, что ограничение на допуск радиоэлектронной продукции, происходящей из иностранных государств, не устанавливается, если в реестре и реестре евразийских промышленных товаров отсутствует радиоэлектронная продукция, соответствующая тому же классу (функциональному назначению) радиоэлектронной продукции, планируемой к закупке, и (или) радиоэлектронная продукция, включенная в реестр или реестр евразийских промышленных товаров, по своим функциональным, техническим и (или) эксплуатационным характеристикам не соответствует установленным заказчиком требованиям к планируемой к закупке радиоэлектронной продукции.";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 пункте 5 слова "обоснование невозможности соблюдения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нужд, подготовленное заказчиком в соответствии с Порядком подготовки обоснования невозможности соблюдения ограничения на допуск радиоэлектронной продукции, происходящей из иностранных государств, для целей осуществления закупок для 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государственных и муниципальных нужд, утвержденным настоящим постановлением, и размещенное заказчиком в единой информационной системе в сфере закупок одновременно с размещением извещения об осуществлении закупки" заменить словами "разрешение на закупку происходящего из иностранного государства промышленного товара, выданное в порядке, установленном Министерством промышленности и торговли Российской Федерации";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пункт 6 после слова "реестр" дополнить словами "или реестр евразийских промышленных товаров";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пункт 8 изложить в следующей редакции: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"8. При исполнении контракта замена электронной продукции, включенной в перечень, на электронную продукцию, сведения о которой отсутствуют в реестре или в реестре евразийских промышленных товаров, не допускается.";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подпункт "в" пункта 10 признать утратившим силу;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 абзаце третьем пункта 13 слова "и действуют в течение 2 лет" исключить;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ж) Порядок подготовки обоснования невозможности соблюдения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нужд, утвержденный указанным постановлением, признать утратившим силу;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з) перечень 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указанным постановлением, изложить в следующей редакции: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"Утвержден</w:t>
      </w: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постановлением Правительства</w:t>
      </w: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Российской Федерации</w:t>
      </w: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от 10 июля 2019 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878</w:t>
      </w: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(в редакции постановления</w:t>
      </w: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Правительства Российской Федерации</w:t>
      </w: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от 28 августа 2021 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1432)</w:t>
      </w:r>
    </w:p>
    <w:p w:rsidR="00523D0A" w:rsidRPr="00523D0A" w:rsidRDefault="00523D0A" w:rsidP="00523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523D0A">
        <w:rPr>
          <w:rFonts w:ascii="Times New Roman" w:eastAsia="Times New Roman" w:hAnsi="Times New Roman" w:cs="Times New Roman"/>
          <w:sz w:val="34"/>
          <w:szCs w:val="34"/>
          <w:lang w:eastAsia="ru-RU"/>
        </w:rPr>
        <w:t>Перечень</w:t>
      </w:r>
      <w:r w:rsidRPr="00523D0A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</w:t>
      </w:r>
    </w:p>
    <w:tbl>
      <w:tblPr>
        <w:tblW w:w="9537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985"/>
      </w:tblGrid>
      <w:tr w:rsidR="00523D0A" w:rsidRPr="00523D0A" w:rsidTr="00523D0A"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(ОКПД2) ОК 034-2014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радиоэлектронной продукции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Лампы и трубки электронные вакуумные или газонаполненные с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термокатодом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холодным катодом, фотокатодом, включая трубки электронно-лучевые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Диоды и транзисторы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26.11.4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электронных ламп и трубок и прочих электронных компонентов, не включенные в другие группировки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 печатные смонтированные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Платы звуковые,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видеоплаты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сетевые и аналогичные платы для машин автоматической обработки информации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26.20.18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Устройства запоминающие и прочие устройства хранения данных (за исключением продукции, соответствующей позиции, классифицируемой кодом 26.20.2 "Устройства запоминающие и прочие устройства хранения данных", в отношении которой постановлением Правительства Российской Федерации от 21 декабря 2019 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1746 "Об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Федерации" установлен запрет на допуск сроком на 2 года)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26.20.3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автоматической обработки данных прочие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Блоки, части и принадлежности вычислительных машин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26.30.11.130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26.30.11.150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радиоэлектронные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26.30.13.000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 телевизионные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26.30.23.000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26.30.30.000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и комплектующие коммуникационного оборудования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26.30.40.110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Антенны и отражатели антенные всех видов и их части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приемно-контрольные охранные и охранно-пожарные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26.30.50.114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Приборы управления, приемно-контрольные и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охранные и охранно-пожарные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26.30.50.115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26.30.50.119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охранной сигнализации прочие, не включенные в другие группировки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26.30.60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Радиоприемники широковещательные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26.40.31.190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для воспроизведения звука прочая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26.40.32.190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для записи звука прочая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26.40.33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Видеокамеры для записи и прочая аппаратура для записи или воспроизведения изображения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26.40.34.110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26.40.4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26.40.5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звукового и видеооборудования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26.51.11.190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инструменты навигационные прочие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26.51.12.110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Дальномеры, теодолиты и тахиметры (тахеометры)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26.51.12.120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приборы геодезические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26.51.12.130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приборы гидрографические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26.51.12.190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приборы прочие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26.51.20.110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радиолокационная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26.51.20.121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26.51.20.129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радионавигационная прочая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26.51.20.130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Радиоаппаратура дистанционного управления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26.51.32.120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чертежные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26.51.32.190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для черчения, разметки или математических расчетов прочие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26.51.33.131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Микрометры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26.51.33.133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Глубиномеры микрометрические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26.51.33.134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Нутромеры микрометрические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26.51.33.199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измерительный прочий, не включенный в другие группировки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26.51.41.110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установки, системы дозиметрические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26.51.41.120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установки, системы радиометрические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26.51.41.130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установки, системы спектрометрические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26.51.41.140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установки, системы комбинированные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26.51.41.160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Детекторы ионизирующих излучений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26.51.42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Осциллоскопы и осциллографы электронно-лучевые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26.51.43.110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цифровые электроизмерительные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26.51.43.119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цифровые электроизмерительные прочие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26.51.43.120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величин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26.51.44.000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телекоммуникаций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26.51.45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измерения или контроля электрических величин, не включенные в другие группировки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Гидрометры, термометры, пирометры, барометры, гигрометры и психрометры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26.51.52.110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для измерения или контроля расхода жидкостей и газов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26.51.52.120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для измерения или контроля уровня жидкостей и газов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26.51.52.190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для измерения или контроля прочих переменных характеристик жидкостей и газов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26.51.53.110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Газоанализаторы или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дымоанализаторы</w:t>
            </w:r>
            <w:proofErr w:type="spellEnd"/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26.51.53.120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Анализаторы жидкостей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26.51.53.130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Анализаторы аэрозолей, твердых и сыпучих веществ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26.51.53.140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универсальные для определения состава и физико-химических свойств газов, жидкостей и твердых веществ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26.51.53.150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26.51.53.160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Экспонометры и прочие приборы для измерения или контроля количества тепла, звука или света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26.51.53.190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26.51.61.110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Микроскопы (кроме микроскопов оптических)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26.51.63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Счетчики потребления или производства газа, жидкости или электроэнергии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26.51.64.170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Скоростемеры</w:t>
            </w:r>
            <w:proofErr w:type="spellEnd"/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26.51.64.190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для измерения параметров движения и количества прочие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26.51.66.111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Динамометры общего назначения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26.51.66.114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для измерения деформации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26.51.66.121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акустического неразрушающего контроля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26.51.66.126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радиоволнового неразрушающего контроля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26.51.66.127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электромагнитного (вихревых токов) и электрического неразрушающего контроля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26.51.66.129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неразрушающего контроля прочие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26.51.66.131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общего назначения для определения основных параметров вибрационных процессов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26.51.66.133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контрольно-сигнальная для автоматической защиты агрегатов от опасных вибраций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26.51.66.135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виброизмерительная специальная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26.51.66.140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автоматизации и механизации контроля размеров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26.51.66.190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26.51.70.110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Термостаты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26.51.70.190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26.51.81.000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и принадлежности аппаратуры радиолокационной, радионавигационной и радиоаппаратуры дистанционного управления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26.51.82.110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(запасные части) дальномеров, теодолитов и тахиметров (тахеометров); геодезических, гидрографических, океанографических, гидрологических, метеорологических или геофизических инструментов и прочих приборов, не имеющие самостоятельных группировок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26.51.82.190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26.51.85.120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(запасные части) приборов, устройств и машин контрольно-измерительных, не включенные в другие группировки, не имеющие самостоятельных группировок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26.60.11.111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Томографы компьютерные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26.60.11.112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рентгеноскопические (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флуороскопические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26.60.11.113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рентгенографические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26.60.11.113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26.60.12.110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26.60.12.129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32.50.21.112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Эндоскопические комплексы, соответствующие кодам 271710, 271720, 271740, 271780, 271790, 271800, 271830, 271850, 282950,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26.60.11.119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рентгеновские прочие, используемые для диагностики, применяемые в медицинских целях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однофотонной эмиссионной компьютерной томографии (гамма-камеры), соответствующие кодам 191060, 209240, 280530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26.60.11.120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26.60.11.129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аппараты и комплексы гамма-терапевтические контактной лучевой терапии средней и высокой мощности дозы, соответствующие кодам 125700, 142570, 310440, 310450, 314140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26.60.11.130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и принадлежности аппаратов, основанных на использовании рентгеновского или альфа-, бета- или гамма-излучений, применяемых в медицинских целях, включая хирургию, стоматологию, ветеринарию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26.60.12.111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Электрокардиографы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26.60.12.119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электродиагностические прочие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26.60.12.120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26.60.12.124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26.60.12.129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Пульсоксиметры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спирометры, аппараты для объемной сфигмографии, соответствующие кодам 145190, 149980, 150000, 150010, 150020, 170280, 218360, 218410, 232490, 249320, 288690, 317710, 345960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26.60.12.119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26.60.12.129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27.40.39.110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32.50.13.190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Оториноскопы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соответствующие кодам 279450, 172070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26.60.12.119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26.60.12.129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32.50.13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Тонометры измерения внутриглазного давления, соответствующие кодам 171850, 172450, 172460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26.60.12.121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26.60.12.124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Электроэнцефалограф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электромиограф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спирограф, соответствующие кодам 152710, 232490, 260980, 291870, 291820, 291830, 292080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измерений массы, силы, энергии, линейных и угловых величин, температуры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26.60.12.123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для исследования звуковых колебаний в органах человека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26.60.12.129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26.60.12.131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Томографы магнитно-резонансные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26.60.12.132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ультразвукового сканирования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26.60.13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Облучатели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фототерапевтические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неонатальные, соответствующие кодам 172870, 204120, 335380, 209840, 335370, 326010, 212340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26.60.13.120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микроволновой терапии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26.60.13.140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Литотриптеры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соответствующие кодам 127180, 204130, 216570, 236610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26.60.13.150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ультразвуковой терапии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26.60.13.180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светолечения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26.60.13.190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32.50.13.190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Дефибрилляторы;</w:t>
            </w:r>
          </w:p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обогреватели детские неонатальные;</w:t>
            </w:r>
          </w:p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неонатальные с автоматическим поддержанием температуры обогрева новорожденных;</w:t>
            </w:r>
          </w:p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кодам 119850, 126460, 126470, 126500, 130380, 210150, 233940, 262390, 262430, 262440, 334660, 334670, 334680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фотографическое и его части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оптические прочие и их части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26.80.12.000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Носители данных оптические без записи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26.80.13.000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Носители данных прочие, включая матрицы и основы для производства дисков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26.80.14.000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магнитные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27.31.1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волоконно-оптические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27.40.1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или газоразрядные лампы; дуговые лампы; светодиодные лампы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электрические настольные, прикроватные или напольные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27.40.24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Указатели светящиеся, световые табло и подобные им устройства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 и прочие устройства осветительные электрические подвесные, потолочные, встраиваемые и настенные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Люстры-вспышки фотографические,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фотоосветители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"кубик" и аналогичные изделия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27.40.33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Прожекторы и аналогичные светильники узконаправленного света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27.40.41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ламп накаливания или газоразрядных ламп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27.40.42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светильников и осветительных устройств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27.40.99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электрического осветительного оборудования отдельные, выполняемые субподрядчиком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27.51.21.119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27.51.21.120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приборы для механизации кухонных работ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27.51.23.130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Утюги электрические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Электрочайники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27.51.25.120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Кипятильники погружные электрические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27.51.27.000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 микроволновые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27.90.11.171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Анализаторы частиц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27.90.20.120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световой и звуковой сигнализации электрические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27.90.33.110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27.90.40.150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Генераторы сигналов электрические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27.90.40.190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прочее, не включенное в другие группировки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27.90.70.000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Машины, содержащие счетные устройства, прочие, не включенные в другие группировки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28.23.23.000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прочие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28.25.13.110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32.50.50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морозильники, холодильники комбинированные лабораторные, холодильники фармацевтические, соответствующие кодам 122990, 143910, 145090, 215850, 261620, 321680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28.25.14.110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установки для фильтрования или очистки воздуха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Облучатели-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рециркуляторы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воздуха,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рециркуляторы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бактерицидные, соответствующие кодам 131980, 132020, 132060, 132070, 152690, 152700, 160030, 270540, 292620 вида </w:t>
            </w: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29.32.30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Тахографы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зарядные станции для электромобилей, системы помощи водителю (ADAS) для автотранспорта различного назначения, электронный блок управления двигателем, электронный блок управления кузовной электроникой, блок управления комбинацией приборов, компоненты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телематических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систем, система помощи водителю, электронные переключатели, приборы управления подвеской, приборы управления освещением, приборы управления электропитанием, приборы управления климатом, приборы управления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видеообзором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приборы управления функциями комфорта, приборы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бесключевого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 и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противоугона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приборы расширения функционала ЭБУ, приборы управления системами автомобиля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28.99.20.000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аппаратура, исключительно или в основном используемые для производства полупроводниковых слитков или пластин, полупроводниковых устройств, электронных интегральных микросхем или </w:t>
            </w:r>
            <w:proofErr w:type="spellStart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плоскопанельных</w:t>
            </w:r>
            <w:proofErr w:type="spellEnd"/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дисплеев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</w:t>
            </w:r>
          </w:p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32.50.13.190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электрохирургические, соответствующие кодам 119890, 126550, 127830, 172260, 228980, 228990, 229000, 260140, 260500, 268390, 282800, 282950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32.50.12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Стерилизаторы хирургические или лабораторные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32.50.21.121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для ингаляционного наркоза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32.50.21.122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дыхательные реанимационные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32.50.21.129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дыхательное прочее, не включенное в другие группировки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32.50.21.160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Инкубаторы для новорожденных</w:t>
            </w:r>
          </w:p>
        </w:tc>
      </w:tr>
      <w:tr w:rsidR="00523D0A" w:rsidRPr="00523D0A" w:rsidTr="00523D0A">
        <w:tc>
          <w:tcPr>
            <w:tcW w:w="2552" w:type="dxa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32.99.59.000</w:t>
            </w:r>
          </w:p>
        </w:tc>
        <w:tc>
          <w:tcPr>
            <w:tcW w:w="6985" w:type="dxa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 подвода медицинских газов и электропитания, соответствующие кодам 259390, 259380, 157680, 335650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</w:p>
        </w:tc>
      </w:tr>
    </w:tbl>
    <w:p w:rsidR="00523D0A" w:rsidRPr="00523D0A" w:rsidRDefault="00523D0A" w:rsidP="00523D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 постановлении Правительства Российской Федерации от 30 апреля 2020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19, ст. 2993;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32, ст. 5315; 2021,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1, ст. 106;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2, ст. 454):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подпункт "г" пункта 3 изложить в следующей редакции: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"г) закупка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оборудование (в случае закупки товаров, указанных в пунктах 25</w:t>
      </w:r>
      <w:r w:rsidRPr="00523D0A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3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- 25</w:t>
      </w:r>
      <w:r w:rsidRPr="00523D0A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7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47 - 51 перечня);";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подпункт "а" пункта 6 изложить в следующей редакции: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"а)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продукции, произведенной на территории Российской Федерации (далее - реестр российской промышленной продукции), либо в едином реестре российской радиоэлектронной продукции;";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 пункте 10: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первый после слов "или реестра евразийской промышленной продукции" дополнить словами "либо в случае закупки товаров, указанных в пунктах 25</w:t>
      </w:r>
      <w:r w:rsidRPr="00523D0A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1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- 25</w:t>
      </w:r>
      <w:r w:rsidRPr="00523D0A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7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перечня, представляет декларацию о включении поставляемой продукции в единый реестр российской радиоэлектронной продукции";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 после слов "или реестра евразийской промышленной продукции" дополнить словами "либо декларации о включении продукции в единый реестр российской радиоэлектронной продукции";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третий после слов "в реестре российской промышленной продукции" дополнить словами "или в едином реестре российской радиоэлектронной продукции", после слов "не подлежит включению в реестр российской промышленной продукции" дополнить словами "или в единый реестр российской радиоэлектронной продукции";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дополнить пунктом 10</w:t>
      </w:r>
      <w:r w:rsidRPr="00523D0A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2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"10</w:t>
      </w:r>
      <w:r w:rsidRPr="00523D0A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> 2</w:t>
      </w: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Выписка из реестра российской промышленной продукции или реестра евразийской промышленной продукции, предусмотренная абзацем первым пункта 10 настоящего постановления, не представляется при осуществлении закупок промышленных товаров для нужд обороны страны и безопасности государства, попадающих под запрет, установленный пунктом 2 настоящего постановления, за исключением закупок промышленных товаров, предусмотренных перечнем.</w:t>
      </w:r>
    </w:p>
    <w:p w:rsidR="00523D0A" w:rsidRPr="00523D0A" w:rsidRDefault="00523D0A" w:rsidP="0052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подтверждения соответствия закупки промышленных товаров, работ, услуг для нужд обороны страны и безопасности государства, за исключением промышленных товаров, предусмотренных перечнем, требованиям, установленным настоящим постановлением, участник закупки представляет заказчику в составе заявки на участие в закупке декларацию о происхождении товара.";</w:t>
      </w:r>
    </w:p>
    <w:p w:rsidR="00523D0A" w:rsidRPr="00523D0A" w:rsidRDefault="00523D0A" w:rsidP="00523D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3D0A">
        <w:rPr>
          <w:rFonts w:ascii="Times New Roman" w:eastAsia="Times New Roman" w:hAnsi="Times New Roman" w:cs="Times New Roman"/>
          <w:sz w:val="23"/>
          <w:szCs w:val="23"/>
          <w:lang w:eastAsia="ru-RU"/>
        </w:rPr>
        <w:t>д) приложение к указанному постановлению дополнить пунктами 25</w:t>
      </w:r>
      <w:r w:rsidRPr="00523D0A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523D0A">
        <w:rPr>
          <w:rFonts w:ascii="Times New Roman" w:eastAsia="Times New Roman" w:hAnsi="Times New Roman" w:cs="Times New Roman"/>
          <w:sz w:val="23"/>
          <w:szCs w:val="23"/>
          <w:lang w:eastAsia="ru-RU"/>
        </w:rPr>
        <w:t> - 25</w:t>
      </w:r>
      <w:r w:rsidRPr="00523D0A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7</w:t>
      </w:r>
      <w:r w:rsidRPr="00523D0A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следующего содержания:</w:t>
      </w:r>
    </w:p>
    <w:p w:rsidR="00523D0A" w:rsidRPr="00523D0A" w:rsidRDefault="00523D0A" w:rsidP="00523D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3D0A">
        <w:rPr>
          <w:rFonts w:ascii="Times New Roman" w:eastAsia="Times New Roman" w:hAnsi="Times New Roman" w:cs="Times New Roman"/>
          <w:sz w:val="23"/>
          <w:szCs w:val="23"/>
          <w:lang w:eastAsia="ru-RU"/>
        </w:rPr>
        <w:t>"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2629"/>
        <w:gridCol w:w="6655"/>
      </w:tblGrid>
      <w:tr w:rsidR="00523D0A" w:rsidRPr="00523D0A" w:rsidTr="00523D0A">
        <w:tc>
          <w:tcPr>
            <w:tcW w:w="76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  <w:r w:rsidRPr="00523D0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1</w:t>
            </w: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62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26.11.30</w:t>
            </w:r>
          </w:p>
        </w:tc>
        <w:tc>
          <w:tcPr>
            <w:tcW w:w="664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Схемы интегральные электронные</w:t>
            </w:r>
          </w:p>
        </w:tc>
      </w:tr>
      <w:tr w:rsidR="00523D0A" w:rsidRPr="00523D0A" w:rsidTr="00523D0A">
        <w:tc>
          <w:tcPr>
            <w:tcW w:w="76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  <w:r w:rsidRPr="00523D0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2</w:t>
            </w: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62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26.12.30</w:t>
            </w:r>
          </w:p>
        </w:tc>
        <w:tc>
          <w:tcPr>
            <w:tcW w:w="664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Карты со встроенными интегральными схемами (смарт-карты)</w:t>
            </w:r>
          </w:p>
        </w:tc>
      </w:tr>
      <w:tr w:rsidR="00523D0A" w:rsidRPr="00523D0A" w:rsidTr="00523D0A">
        <w:tc>
          <w:tcPr>
            <w:tcW w:w="76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25</w:t>
            </w:r>
            <w:r w:rsidRPr="00523D0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3</w:t>
            </w: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62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26.20.11</w:t>
            </w:r>
          </w:p>
        </w:tc>
        <w:tc>
          <w:tcPr>
            <w:tcW w:w="664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Компьютеры портативные массой не более 10 кг,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</w:tr>
      <w:tr w:rsidR="00523D0A" w:rsidRPr="00523D0A" w:rsidTr="00523D0A">
        <w:tc>
          <w:tcPr>
            <w:tcW w:w="76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  <w:r w:rsidRPr="00523D0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4</w:t>
            </w: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62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26.20.13</w:t>
            </w:r>
          </w:p>
        </w:tc>
        <w:tc>
          <w:tcPr>
            <w:tcW w:w="664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523D0A" w:rsidRPr="00523D0A" w:rsidTr="00523D0A">
        <w:tc>
          <w:tcPr>
            <w:tcW w:w="76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  <w:r w:rsidRPr="00523D0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5</w:t>
            </w: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62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26.20.14</w:t>
            </w:r>
          </w:p>
        </w:tc>
        <w:tc>
          <w:tcPr>
            <w:tcW w:w="664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523D0A" w:rsidRPr="00523D0A" w:rsidTr="00523D0A">
        <w:tc>
          <w:tcPr>
            <w:tcW w:w="76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  <w:r w:rsidRPr="00523D0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6</w:t>
            </w: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62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26.20.15</w:t>
            </w:r>
          </w:p>
        </w:tc>
        <w:tc>
          <w:tcPr>
            <w:tcW w:w="664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523D0A" w:rsidRPr="00523D0A" w:rsidTr="00523D0A">
        <w:tc>
          <w:tcPr>
            <w:tcW w:w="76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  <w:r w:rsidRPr="00523D0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7</w:t>
            </w: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62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27.40.39</w:t>
            </w:r>
          </w:p>
        </w:tc>
        <w:tc>
          <w:tcPr>
            <w:tcW w:w="6645" w:type="dxa"/>
            <w:shd w:val="clear" w:color="auto" w:fill="FFFFFF"/>
            <w:hideMark/>
          </w:tcPr>
          <w:p w:rsidR="00523D0A" w:rsidRPr="00523D0A" w:rsidRDefault="00523D0A" w:rsidP="00523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23D0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</w:tr>
    </w:tbl>
    <w:p w:rsidR="001D23DA" w:rsidRPr="00523D0A" w:rsidRDefault="001D23DA"/>
    <w:sectPr w:rsidR="001D23DA" w:rsidRPr="0052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0A"/>
    <w:rsid w:val="001D23DA"/>
    <w:rsid w:val="0052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2CD6E-7FBB-49D0-9181-9F459CD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2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2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2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">
    <w:name w:val="entry"/>
    <w:basedOn w:val="a0"/>
    <w:rsid w:val="00523D0A"/>
  </w:style>
  <w:style w:type="character" w:styleId="a3">
    <w:name w:val="Hyperlink"/>
    <w:basedOn w:val="a0"/>
    <w:uiPriority w:val="99"/>
    <w:semiHidden/>
    <w:unhideWhenUsed/>
    <w:rsid w:val="00523D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3D0A"/>
    <w:rPr>
      <w:color w:val="800080"/>
      <w:u w:val="single"/>
    </w:rPr>
  </w:style>
  <w:style w:type="paragraph" w:customStyle="1" w:styleId="s16">
    <w:name w:val="s_16"/>
    <w:basedOn w:val="a"/>
    <w:rsid w:val="0052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2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2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2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5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5482</Words>
  <Characters>31251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2021-09-02T06:52:00Z</dcterms:created>
  <dcterms:modified xsi:type="dcterms:W3CDTF">2021-09-02T07:00:00Z</dcterms:modified>
</cp:coreProperties>
</file>